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0BA95">
      <w:pPr>
        <w:jc w:val="center"/>
        <w:rPr>
          <w:rFonts w:hint="eastAsia"/>
          <w:b/>
          <w:bCs/>
        </w:rPr>
      </w:pPr>
      <w:r>
        <w:rPr>
          <w:rFonts w:hint="eastAsia"/>
          <w:b/>
          <w:bCs/>
        </w:rPr>
        <w:t>Supplementary Materials</w:t>
      </w:r>
    </w:p>
    <w:p w14:paraId="66B195AE">
      <w:pPr>
        <w:adjustRightInd w:val="0"/>
        <w:snapToGrid w:val="0"/>
        <w:spacing w:before="240" w:after="60" w:line="240" w:lineRule="atLeast"/>
        <w:outlineLvl w:val="0"/>
        <w:rPr>
          <w:rFonts w:ascii="Minion Pro" w:hAnsi="Minion Pro" w:eastAsia="Times New Roman" w:cs="Times New Roman"/>
          <w:b/>
          <w:snapToGrid w:val="0"/>
          <w:color w:val="000000"/>
          <w:sz w:val="22"/>
          <w:szCs w:val="22"/>
          <w:lang w:val="en-US" w:eastAsia="de-DE" w:bidi="en-US"/>
        </w:rPr>
      </w:pPr>
      <w:r>
        <w:rPr>
          <w:rFonts w:hint="eastAsia" w:ascii="Minion Pro" w:hAnsi="Minion Pro" w:eastAsia="宋体" w:cs="Times New Roman"/>
          <w:b/>
          <w:snapToGrid w:val="0"/>
          <w:color w:val="000000"/>
          <w:sz w:val="22"/>
          <w:szCs w:val="22"/>
          <w:lang w:val="en-US" w:eastAsia="zh-CN" w:bidi="en-US"/>
        </w:rPr>
        <w:t>S1.</w:t>
      </w:r>
      <w:r>
        <w:rPr>
          <w:rFonts w:hint="eastAsia" w:ascii="Minion Pro" w:hAnsi="Minion Pro" w:eastAsia="Times New Roman" w:cs="Times New Roman"/>
          <w:b/>
          <w:snapToGrid w:val="0"/>
          <w:color w:val="000000"/>
          <w:sz w:val="22"/>
          <w:szCs w:val="22"/>
          <w:lang w:val="en-US" w:eastAsia="de-DE" w:bidi="en-US"/>
        </w:rPr>
        <w:t>Materials and Methods</w:t>
      </w:r>
    </w:p>
    <w:p w14:paraId="5034613C">
      <w:pPr>
        <w:pStyle w:val="32"/>
        <w:spacing w:before="240" w:beforeLines="0" w:afterLines="0"/>
        <w:rPr>
          <w:rFonts w:hint="default"/>
          <w:sz w:val="22"/>
          <w:szCs w:val="22"/>
        </w:rPr>
      </w:pPr>
      <w:r>
        <w:rPr>
          <w:rFonts w:hint="default" w:ascii="Times New Roman"/>
          <w:sz w:val="22"/>
          <w:szCs w:val="22"/>
        </w:rPr>
        <w:t>Sample collection of Panax plants</w:t>
      </w:r>
    </w:p>
    <w:p w14:paraId="33337DFF">
      <w:pPr>
        <w:pStyle w:val="33"/>
        <w:spacing w:beforeLines="0" w:afterLines="0"/>
        <w:rPr>
          <w:rFonts w:hint="default" w:ascii="Times New Roman"/>
          <w:sz w:val="22"/>
          <w:szCs w:val="22"/>
        </w:rPr>
      </w:pPr>
      <w:r>
        <w:rPr>
          <w:rFonts w:hint="default" w:ascii="Times New Roman"/>
          <w:sz w:val="22"/>
          <w:szCs w:val="22"/>
        </w:rPr>
        <w:t>The composition and structure of endophytic microbial communities, as well as their interactions with host plants, are strongly influenced by local environmental conditions</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{"citationID":"mOIu61l8","properties":{"formattedCitation":"[26]","plainCitation":"[26]","noteIndex":0},"citationItems":[{"id":5120,"uris":["http://zotero.org/users/12153917/items/B36D9IBG"],"itemData":{"id":5120,"type":"article-journal","abstract":"Climate change is increasing global temperatures and the frequency and severity of droughts in many regions. These anthropogenic stresses pose a significant threat to plant performance and crop production. The plant-associated microbiome modulates the impacts of biotic and abiotic stresses on plant fitness. However, climate change-induced alteration in composition and activities of plant microbiomes can affect host functions. Here, we highlight recent advancements in our understanding of the impact of climate change (warming and drought) on plant-microbiome interactions and on their ecological functions from genome to ecosystem scales. We identify knowledge gaps, propose new concepts and make recommendations for future research directions. It is proposed that in the short term (years to decades), the adaptation of plants to climate change is mainly driven by the plant microbiome, whereas in the long term (century to millennia), the adaptation of plants will be driven equally by eco-evolutionary interactions between the plant microbiome and its host. A better understanding of the response of the plant and its microbiome interactions to climate change and the ways in which microbiomes can mitigate the negative impacts will better inform predictions of climate change impacts on primary productivity and aid in developing management and policy tools to improve the resilience of plant systems.","container-title":"The New Phytologist","DOI":"10.1111/nph.18016","ISSN":"1469-8137","issue":"6","journalAbbreviation":"New Phytol","language":"eng","note":"PMID: 35118660\nTLDR: It is proposed that in short-term adaptation of plants to climate change is mainly driven by the plant microbiome, while long-termadaptation of plants will be driven equally by eco-evolutionary interactions between the plant microbiomes and its host.","page":"1951-1959","source":"PubMed","title":"Plant-microbiome interactions under a changing world: responses, consequences and perspectives","title-short":"Plant-microbiome interactions under a changing world","volume":"234","author":[{"family":"Trivedi","given":"Pankaj"},{"family":"Batista","given":"Bruna D."},{"family":"Bazany","given":"Kathryn E."},{"family":"Singh","given":"Brajesh K."}],"issued":{"date-parts":[["2022",6]]}}}],"schema":"https://github.com/citation-style-language/schema/raw/master/csl-citation.json"}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[26]</w:t>
      </w:r>
      <w:r>
        <w:rPr>
          <w:rFonts w:hint="default" w:ascii="Times New Roman" w:hAnsi="Times New Roman" w:eastAsia="宋体"/>
          <w:sz w:val="24"/>
          <w:szCs w:val="22"/>
          <w:lang w:eastAsia="zh-CN"/>
        </w:rPr>
        <w:fldChar w:fldCharType="end"/>
      </w:r>
      <w:r>
        <w:rPr>
          <w:rFonts w:hint="default"/>
          <w:sz w:val="22"/>
          <w:szCs w:val="22"/>
        </w:rPr>
        <w:t xml:space="preserve">. </w:t>
      </w:r>
      <w:r>
        <w:rPr>
          <w:rFonts w:hint="default" w:ascii="Times New Roman"/>
          <w:sz w:val="22"/>
          <w:szCs w:val="22"/>
        </w:rPr>
        <w:t xml:space="preserve">Consequently, all samples of </w:t>
      </w:r>
      <w:r>
        <w:rPr>
          <w:rFonts w:hint="default" w:ascii="Times New Roman"/>
          <w:i/>
          <w:sz w:val="22"/>
          <w:szCs w:val="22"/>
        </w:rPr>
        <w:t>P. ginseng</w:t>
      </w:r>
      <w:r>
        <w:rPr>
          <w:rFonts w:hint="default" w:ascii="Times New Roman"/>
          <w:sz w:val="22"/>
          <w:szCs w:val="22"/>
        </w:rPr>
        <w:t xml:space="preserve">, </w:t>
      </w:r>
      <w:r>
        <w:rPr>
          <w:rFonts w:hint="default" w:ascii="Times New Roman"/>
          <w:i/>
          <w:sz w:val="22"/>
          <w:szCs w:val="22"/>
        </w:rPr>
        <w:t>P. quinquefolium</w:t>
      </w:r>
      <w:r>
        <w:rPr>
          <w:rFonts w:hint="default" w:ascii="Times New Roman"/>
          <w:sz w:val="22"/>
          <w:szCs w:val="22"/>
        </w:rPr>
        <w:t xml:space="preserve">, and </w:t>
      </w:r>
      <w:r>
        <w:rPr>
          <w:rFonts w:hint="default" w:ascii="Times New Roman"/>
          <w:i/>
          <w:sz w:val="22"/>
          <w:szCs w:val="22"/>
        </w:rPr>
        <w:t>P. notoginseng</w:t>
      </w:r>
      <w:r>
        <w:rPr>
          <w:rFonts w:hint="default" w:ascii="Times New Roman"/>
          <w:sz w:val="22"/>
          <w:szCs w:val="22"/>
        </w:rPr>
        <w:t xml:space="preserve"> were sourced from their respective core production areas, which are the regions where plant-endophyte co-evolution occurs, as detailed described in a previous study</w:t>
      </w:r>
      <w:r>
        <w:rPr>
          <w:rFonts w:hint="eastAsia" w:eastAsia="宋体"/>
          <w:sz w:val="22"/>
          <w:szCs w:val="22"/>
          <w:highlight w:val="yellow"/>
          <w:lang w:eastAsia="zh-CN"/>
        </w:rPr>
        <w:fldChar w:fldCharType="begin"/>
      </w:r>
      <w:r>
        <w:rPr>
          <w:rFonts w:hint="eastAsia" w:eastAsia="宋体"/>
          <w:sz w:val="22"/>
          <w:szCs w:val="22"/>
          <w:highlight w:val="yellow"/>
          <w:lang w:eastAsia="zh-CN"/>
        </w:rPr>
        <w:instrText xml:space="preserve"> ADDIN ZOTERO_ITEM CSL_CITATION {"citationID":"JvVSayMz","properties":{"formattedCitation":"[27]","plainCitation":"[27]","noteIndex":0},"citationItems":[{"id":4408,"uris":["http://zotero.org/users/12153917/items/WMPLHRGV"],"itemData":{"id":4408,"type":"article-journal","abstract":"Endophytes may participate in the conversion of metabolites within medicinal plants, influencing the efficacy of host. However, the distribution of endophytes within medicinal plants P. notoginseng and how it contributes to the conversion of saponins are not well understood. Here, we determined the distribution of saponins and endophytes within P. notoginseng compartments and further confirm the saponin conversion by endophytes. We found metabolites showed compartment specificity within P. notoginseng. Potential saponin biomarkers, such as Rb1, Rg1, Re, Rc and Rd, were obtained. Endophytic diversity, composition and co-occurrence networks also showed compartment specificity, and bacterial alpha diversity values were highest in root compartment, consistently decreased in the stem and leaf compartments, whereas those of fungi showed the opposite trend. Potential bacterial biomarkers, such as Rhizobium, Bacillus, Pseudomonas, Enterobacter, Klebsiella, Pantoea and fungal biomarkers Phoma, Epicoccum, Xylariales, were also obtained. Endophytes related to saponin contents were found by Spearman correlation analysis, and further verification experiments showed that Enterobacter chengduensis could convert ginsenoside Rg1 to F1 at a rate of 13.24%; Trichoderma koningii could convert ginsenoside Rb1 to Rd at a rate of 40.00% and to Rg3 at a rate of 32.31%; Penicillium chermesinum could convert ginsenoside Rb1 to Rd at a rate of 74.24%.","container-title":"Microbial Biotechnology","DOI":"10.1111/1751-7915.13842","ISSN":"1751-7915","issue":"4","journalAbbreviation":"Microb Biotechnol","language":"eng","note":"PMID: 34081833\nPMCID: PMC8313278\nTLDR: It is found metabolites showed compartment specificity within P. notoginseng compartments and the saponin conversion by endophytes is confirmed, and bacterial alpha diversity values were highest in root compartment, consistently decreased in the stem and leaf compartments, whereas those of fungi showed the opposite trend.","page":"1730-1746","source":"PubMed","title":"Endophytes isolated from Panax notoginseng converted ginsenosides","volume":"14","author":[{"family":"Wei","given":"Guangfei"},{"family":"Chen","given":"Zhongjian"},{"family":"Wang","given":"Bo"},{"family":"Wei","given":"Fugang"},{"family":"Zhang","given":"Guozhuang"},{"family":"Wang","given":"Yong"},{"family":"Zhu","given":"Guangwei"},{"family":"Zhou","given":"Yuxin"},{"family":"Zhao","given":"Qinghe"},{"family":"He","given":"Mingjun"},{"family":"Dong","given":"Linlin"},{"family":"Chen","given":"Shilin"}],"issued":{"date-parts":[["2021",7]]}}}],"schema":"https://github.com/citation-style-language/schema/raw/master/csl-citation.json"} </w:instrText>
      </w:r>
      <w:r>
        <w:rPr>
          <w:rFonts w:hint="eastAsia" w:eastAsia="宋体"/>
          <w:sz w:val="22"/>
          <w:szCs w:val="22"/>
          <w:highlight w:val="yellow"/>
          <w:lang w:eastAsia="zh-CN"/>
        </w:rPr>
        <w:fldChar w:fldCharType="separate"/>
      </w:r>
      <w:r>
        <w:rPr>
          <w:rFonts w:hint="default" w:ascii="Times New Roman" w:hAnsi="Times New Roman" w:eastAsia="宋体"/>
          <w:sz w:val="24"/>
          <w:szCs w:val="22"/>
          <w:lang w:eastAsia="zh-CN"/>
        </w:rPr>
        <w:t>[27]</w:t>
      </w:r>
      <w:r>
        <w:rPr>
          <w:rFonts w:hint="default" w:ascii="Times New Roman" w:hAnsi="Times New Roman" w:eastAsia="宋体"/>
          <w:sz w:val="24"/>
          <w:szCs w:val="22"/>
          <w:lang w:eastAsia="zh-CN"/>
        </w:rPr>
        <w:fldChar w:fldCharType="end"/>
      </w:r>
      <w:r>
        <w:rPr>
          <w:rFonts w:hint="default" w:ascii="Times New Roman"/>
          <w:sz w:val="22"/>
          <w:szCs w:val="22"/>
        </w:rPr>
        <w:t xml:space="preserve">. Simply, sampling was conducted in mid-September 2019 in Baishan City, Jilin Province, for </w:t>
      </w:r>
      <w:r>
        <w:rPr>
          <w:rFonts w:hint="default" w:ascii="Times New Roman"/>
          <w:i/>
          <w:sz w:val="22"/>
          <w:szCs w:val="22"/>
        </w:rPr>
        <w:t>P. ginseng</w:t>
      </w:r>
      <w:r>
        <w:rPr>
          <w:rFonts w:hint="default" w:ascii="Times New Roman"/>
          <w:sz w:val="22"/>
          <w:szCs w:val="22"/>
        </w:rPr>
        <w:t xml:space="preserve"> and </w:t>
      </w:r>
      <w:r>
        <w:rPr>
          <w:rFonts w:hint="default" w:ascii="Times New Roman"/>
          <w:i/>
          <w:sz w:val="22"/>
          <w:szCs w:val="22"/>
        </w:rPr>
        <w:t>P. quinquefolius</w:t>
      </w:r>
      <w:r>
        <w:rPr>
          <w:rFonts w:hint="default" w:ascii="Times New Roman"/>
          <w:sz w:val="22"/>
          <w:szCs w:val="22"/>
        </w:rPr>
        <w:t xml:space="preserve">, and in late October 2019 in Wenshan Prefecture, Yunnan Province, for </w:t>
      </w:r>
      <w:r>
        <w:rPr>
          <w:rFonts w:hint="default" w:ascii="Times New Roman"/>
          <w:i/>
          <w:sz w:val="22"/>
          <w:szCs w:val="22"/>
        </w:rPr>
        <w:t>P. notoginseng</w:t>
      </w:r>
      <w:r>
        <w:rPr>
          <w:rFonts w:hint="default" w:ascii="Times New Roman"/>
          <w:sz w:val="22"/>
          <w:szCs w:val="22"/>
        </w:rPr>
        <w:t xml:space="preserve">. </w:t>
      </w:r>
      <w:r>
        <w:rPr>
          <w:rFonts w:hint="default"/>
          <w:sz w:val="22"/>
          <w:szCs w:val="22"/>
        </w:rPr>
        <w:t>All plants were sampled at the late root thickening stage.</w:t>
      </w:r>
      <w:r>
        <w:rPr>
          <w:rFonts w:hint="default" w:ascii="Times New Roman"/>
          <w:sz w:val="22"/>
          <w:szCs w:val="22"/>
        </w:rPr>
        <w:t xml:space="preserve"> To capture the growth year-dependent microbial variations, </w:t>
      </w:r>
      <w:r>
        <w:rPr>
          <w:rFonts w:hint="default"/>
          <w:sz w:val="22"/>
          <w:szCs w:val="22"/>
        </w:rPr>
        <w:t xml:space="preserve">three independent fields, each planted with 2-year-old (2y), 3-year-old (3y), or 4-year-old (4y) </w:t>
      </w:r>
      <w:r>
        <w:rPr>
          <w:rFonts w:hint="default" w:ascii="Times New Roman"/>
          <w:i/>
          <w:sz w:val="22"/>
          <w:szCs w:val="22"/>
        </w:rPr>
        <w:t>Panax</w:t>
      </w:r>
      <w:r>
        <w:rPr>
          <w:rFonts w:hint="default"/>
          <w:sz w:val="22"/>
          <w:szCs w:val="22"/>
        </w:rPr>
        <w:t xml:space="preserve"> plants, were selected per species</w:t>
      </w:r>
      <w:r>
        <w:rPr>
          <w:rFonts w:hint="default" w:ascii="Times New Roman"/>
          <w:sz w:val="22"/>
          <w:szCs w:val="22"/>
        </w:rPr>
        <w:t>. From each field, nine samples (biological replicates) were collected, and each sample consisted of 10 healthy plants. A total of 81 plant samples (3</w:t>
      </w:r>
      <w:r>
        <w:rPr>
          <w:rFonts w:hint="default" w:ascii="Times New Roman"/>
          <w:i/>
          <w:sz w:val="22"/>
          <w:szCs w:val="22"/>
        </w:rPr>
        <w:t xml:space="preserve"> Panax</w:t>
      </w:r>
      <w:r>
        <w:rPr>
          <w:rFonts w:hint="default" w:ascii="Times New Roman"/>
          <w:sz w:val="22"/>
          <w:szCs w:val="22"/>
        </w:rPr>
        <w:t xml:space="preserve"> species × 3 growth year ×</w:t>
      </w:r>
      <w:r>
        <w:rPr>
          <w:rFonts w:hint="default"/>
          <w:sz w:val="22"/>
          <w:szCs w:val="22"/>
        </w:rPr>
        <w:t xml:space="preserve"> </w:t>
      </w:r>
      <w:r>
        <w:rPr>
          <w:rFonts w:hint="default" w:ascii="Times New Roman"/>
          <w:sz w:val="22"/>
          <w:szCs w:val="22"/>
        </w:rPr>
        <w:t xml:space="preserve">9 replicates) were obtained. After collection, plant leaf and root samples were rinsed, surface-disinfected, pulverized in liquid nitrogen to a fine powder, and subsequently archived at -80 </w:t>
      </w:r>
      <w:r>
        <w:rPr>
          <w:rFonts w:hint="default"/>
          <w:sz w:val="22"/>
          <w:szCs w:val="22"/>
        </w:rPr>
        <w:t>℃</w:t>
      </w:r>
      <w:r>
        <w:rPr>
          <w:rFonts w:hint="default" w:ascii="Times New Roman"/>
          <w:sz w:val="22"/>
          <w:szCs w:val="22"/>
        </w:rPr>
        <w:t>, respectively.</w:t>
      </w:r>
    </w:p>
    <w:p w14:paraId="5D2F132C">
      <w:pPr>
        <w:pStyle w:val="33"/>
        <w:spacing w:beforeLines="0" w:afterLines="0"/>
        <w:rPr>
          <w:rFonts w:hint="default" w:ascii="Times New Roman"/>
          <w:sz w:val="22"/>
          <w:szCs w:val="22"/>
        </w:rPr>
      </w:pPr>
    </w:p>
    <w:p w14:paraId="7B3626A8">
      <w:pPr>
        <w:pStyle w:val="32"/>
        <w:spacing w:before="240" w:beforeLines="0" w:afterLines="0"/>
        <w:rPr>
          <w:rFonts w:hint="default" w:ascii="Times New Roman"/>
          <w:sz w:val="22"/>
          <w:szCs w:val="22"/>
        </w:rPr>
      </w:pPr>
      <w:r>
        <w:rPr>
          <w:rFonts w:hint="default" w:ascii="Times New Roman"/>
          <w:sz w:val="22"/>
          <w:szCs w:val="22"/>
        </w:rPr>
        <w:t>Identification of keystone fungal taxa in plant tissues</w:t>
      </w:r>
    </w:p>
    <w:p w14:paraId="7D1F9666">
      <w:pPr>
        <w:pStyle w:val="33"/>
        <w:spacing w:beforeLines="0" w:afterLines="0"/>
        <w:rPr>
          <w:rFonts w:hint="default" w:ascii="Times New Roman"/>
          <w:sz w:val="22"/>
          <w:szCs w:val="22"/>
        </w:rPr>
      </w:pPr>
      <w:r>
        <w:rPr>
          <w:rFonts w:hint="default"/>
          <w:sz w:val="22"/>
          <w:szCs w:val="22"/>
        </w:rPr>
        <w:t>Genomic DNA was extracted from leaf and root tissues. The fungal internal transcribed spacer (ITS) region was amplified using the host-blocking primer pair ITS1F/ITS2R and sequenced on an Illumina MiSeq platform</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{"citationID":"1PmdR0pA","properties":{"formattedCitation":"[28]","plainCitation":"[28]","noteIndex":0},"citationItems":[{"id":4424,"uris":["http://zotero.org/users/12153917/items/QJD6EQ4V"],"itemData":{"id":4424,"type":"article-journal","abstract":"Although interplays between plant and coevolved microorganisms are believed to drive landscape formation and ecosystem services, the relationships between the mycobiome and phytochemical evolution and the evolutionary characteristics of plant-mycobiome interaction patterns are still unclear. The present study explored fungal communities from 405 multiniche samples of three Holarctic disjunct Panax species. The overall mycobiomes showed compartment-dominated variations and dynamic universality. Neutral models were fitted for each compartment at the Panax genus (I) and species (II) levels to infer the community assembly mechanism and identify fungal subgroups potentially representing different plant-fungi interaction results, i.e., the potentially selected, opposed, and neutral taxa. Selection contributed more to the endosphere than to external compartments. The nonneutral taxa showed significant phylogenetic clustering. In Model I, the opposed subgroups could best reflect Panax saponin diversities (r = 0.69), and genera with highly positive correlations to specific saponins were identified using machine learning. Although mycobiomes in the three species differed significantly, subgroups in Model II were phylogenetically clustered based on potential interaction type rather than plant species, indicating potentially conservative plant-fungi interactions. In summary, the finding of strong links between invaders and saponin diversity can help explore the underlying mechanisms of saponin biosynthesis evolution from microbial insights, which is important to understanding the formation of the current landscape. The potential conservatism of plant-fungi interaction patterns suggests that the related genetic modules and selection pressures were convergent across Panax species, advancing our understanding of plant interplay with biotic environments.","container-title":"The Science of the Total Environment","DOI":"10.1016/j.scitotenv.2022.154583","ISSN":"1879-1026","journalAbbreviation":"Sci Total Environ","language":"en","note":"PMID: 35304141\nTLDR: The potential conservatism of plant-fungi interaction patterns suggests that the related genetic modules and selection pressures were convergent across Panax species, advancing the understanding of plant interplay with biotic environments.","page":"154583","source":"PubMed","title":"Evidence for saponin diversity-mycobiome links and conservatism of plant-fungi interaction patterns across Holarctic disjunct Panax species","volume":"830","author":[{"family":"Zhang","given":"Guozhuang"},{"family":"Wei","given":"Fugang"},{"family":"Chen","given":"Zhongjian"},{"family":"Wang","given":"Yong"},{"family":"Jiao","given":"Shuo"},{"family":"Yang","given":"JiaYing"},{"family":"Chen","given":"Yongzhong"},{"family":"Liu","given":"Congsheng"},{"family":"Huang","given":"Zhixin"},{"family":"Dong","given":"Linlin"},{"family":"Chen","given":"Shilin"}],"issued":{"date-parts":[["2022",7,15]]}}}],"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[28]</w:t>
      </w:r>
      <w:r>
        <w:rPr>
          <w:rFonts w:hint="default" w:ascii="Times New Roman" w:hAnsi="Times New Roman" w:eastAsia="宋体"/>
          <w:sz w:val="24"/>
          <w:szCs w:val="22"/>
          <w:lang w:eastAsia="zh-CN"/>
        </w:rPr>
        <w:fldChar w:fldCharType="end"/>
      </w:r>
      <w:r>
        <w:rPr>
          <w:rFonts w:hint="default" w:ascii="Times New Roman"/>
          <w:sz w:val="22"/>
          <w:szCs w:val="22"/>
        </w:rPr>
        <w:t>. After quality filtering and chimera removal, operational taxonomic units (OTUs) were clustered at 97% similarity and taxonomically assigned against the UNITE database</w:t>
      </w:r>
      <w:r>
        <w:rPr>
          <w:rFonts w:hint="eastAsia" w:eastAsia="宋体"/>
          <w:sz w:val="22"/>
          <w:szCs w:val="22"/>
          <w:highlight w:val="yellow"/>
          <w:lang w:eastAsia="zh-CN"/>
        </w:rPr>
        <w:fldChar w:fldCharType="begin"/>
      </w:r>
      <w:r>
        <w:rPr>
          <w:rFonts w:hint="eastAsia" w:eastAsia="宋体"/>
          <w:sz w:val="22"/>
          <w:szCs w:val="22"/>
          <w:highlight w:val="yellow"/>
          <w:lang w:eastAsia="zh-CN"/>
        </w:rPr>
        <w:instrText xml:space="preserve"> ADDIN ZOTERO_ITEM CSL_CITATION {"citationID":"9j79loz6","properties":{"unsorted":true,"formattedCitation":"[29\\uc0\\u8211{}31]","plainCitation":"[29–31]","noteIndex":0},"citationItems":[{"id":5115,"uris":["http://zotero.org/users/12153917/items/44VUFJTU"],"itemData":{"id":5115,"type":"article-journal","container-title":"Nature Biotechnology","DOI":"10.1038/s41587-019-0209-9","ISSN":"1546-1696","issue":"8","journalAbbreviation":"Nat Biotechnol","language":"en","license":"2019 The Author(s), under exclusive licence to Springer Nature America, Inc.","note":"publisher: Nature Publishing Group\nTLDR: QIIME 2 development was primarily funded by NSF Awards 1565100 to J.G.C. and R.K.P. and partial support was also provided by the following: grants NIH U54CA143925 and U54MD012388.","page":"852-857","source":"www.nature.com","title":"Reproducible, interactive, scalable and extensible microbiome data science using QIIME 2","URL":"https://www.nature.com/articles/s41587-019-0209-9","volume":"37","author":[{"family":"Bolyen","given":"Evan"},{"family":"Rideout","given":"Jai Ram"},{"family":"Dillon","given":"Matthew R."},{"family":"Bokulich","given":"Nicholas A."},{"family":"Abnet","given":"Christian C."},{"family":"Al-Ghalith","given":"Gabriel A."},{"family":"Alexander","given":"Harriet"},{"family":"Alm","given":"Eric J."},{"family":"Arumugam","given":"Manimozhiyan"},{"family":"Asnicar","given":"Francesco"},{"family":"Bai","given":"Yang"},{"family":"Bisanz","given":"Jordan E."},{"family":"Bittinger","given":"Kyle"},{"family":"Brejnrod","given":"Asker"},{"family":"Brislawn","given":"Colin J."},{"family":"Brown","given":"C. Titus"},{"family":"Callahan","given":"Benjamin J."},{"family":"Caraballo-Rodríguez","given":"Andrés Mauricio"},{"family":"Chase","given":"John"},{"family":"Cope","given":"Emily K."},{"family":"Da Silva","given":"Ricardo"},{"family":"Diener","given":"Christian"},{"family":"Dorrestein","given":"Pieter C."},{"family":"Douglas","given":"Gavin M."},{"family":"Durall","given":"Daniel M."},{"family":"Duvallet","given":"Claire"},{"family":"Edwardson","given":"Christian F."},{"family":"Ernst","given":"Madeleine"},{"family":"Estaki","given":"Mehrbod"},{"family":"Fouquier","given":"Jennifer"},{"family":"Gauglitz","given":"Julia M."},{"family":"Gibbons","given":"Sean M."},{"family":"Gibson","given":"Deanna L."},{"family":"Gonzalez","given":"Antonio"},{"family":"Gorlick","given":"Kestrel"},{"family":"Guo","given":"Jiarong"},{"family":"Hillmann","given":"Benjamin"},{"family":"Holmes","given":"Susan"},{"family":"Holste","given":"Hannes"},{"family":"Huttenhower","given":"Curtis"},{"family":"Huttley","given":"Gavin A."},{"family":"Janssen","given":"Stefan"},{"family":"Jarmusch","given":"Alan K."},{"family":"Jiang","given":"Lingjing"},{"family":"Kaehler","given":"Benjamin D."},{"family":"Kang","given":"Kyo Bin"},{"family":"Keefe","given":"Christopher R."},{"family":"Keim","given":"Paul"},{"family":"Kelley","given":"Scott T."},{"family":"Knights","given":"Dan"},{"family":"Koester","given":"Irina"},{"family":"Kosciolek","given":"Tomasz"},{"family":"Kreps","given":"Jorden"},{"family":"Langille","given":"Morgan G. I."},{"family":"Lee","given":"Joslynn"},{"family":"Ley","given":"Ruth"},{"family":"Liu","given":"Yong-Xin"},{"family":"Loftfield","given":"Erikka"},{"family":"Lozupone","given":"Catherine"},{"family":"Maher","given":"Massoud"},{"family":"Marotz","given":"Clarisse"},{"family":"Martin","given":"Bryan D."},{"family":"McDonald","given":"Daniel"},{"family":"McIver","given":"Lauren J."},{"family":"Melnik","given":"Alexey V."},{"family":"Metcalf","given":"Jessica L."},{"family":"Morgan","given":"Sydney C."},{"family":"Morton","given":"Jamie T."},{"family":"Naimey","given":"Ahmad Turan"},{"family":"Navas-Molina","given":"Jose A."},{"family":"Nothias","given":"Louis Felix"},{"family":"Orchanian","given":"Stephanie B."},{"family":"Pearson","given":"Talima"},{"family":"Peoples","given":"Samuel L."},{"family":"Petras","given":"Daniel"},{"family":"Preuss","given":"Mary Lai"},{"family":"Pruesse","given":"Elmar"},{"family":"Rasmussen","given":"Lasse Buur"},{"family":"Rivers","given":"Adam"},{"family":"Robeson","given":"Michael S."},{"family":"Rosenthal","given":"Patrick"},{"family":"Segata","given":"Nicola"},{"family":"Shaffer","given":"Michael"},{"family":"Shiffer","given":"Arron"},{"family":"Sinha","given":"Rashmi"},{"family":"Song","given":"Se Jin"},{"family":"Spear","given":"John R."},{"family":"Swafford","given":"Austin D."},{"family":"Thompson","given":"Luke R."},{"family":"Torres","given":"Pedro J."},{"family":"Trinh","given":"Pauline"},{"family":"Tripathi","given":"Anupriya"},{"family":"Turnbaugh","given":"Peter J."},{"family":"Ul-Hasan","given":"Sabah"},{"family":"Hooft","given":"Justin J. J.","non-dropping-particle":"van der"},{"family":"Vargas","given":"Fernando"},{"family":"Vázquez-Baeza","given":"Yoshiki"},{"family":"Vogtmann","given":"Emily"},{"family":"Hippel","given":"Max","non-dropping-particle":"von"},{"family":"Walters","given":"William"},{"family":"Wan","given":"Yunhu"},{"family":"Wang","given":"Mingxun"},{"family":"Warren","given":"Jonathan"},{"family":"Weber","given":"Kyle C."},{"family":"Williamson","given":"Charles H. D."},{"family":"Willis","given":"Amy D."},{"family":"Xu","given":"Zhenjiang Zech"},{"family":"Zaneveld","given":"Jesse R."},{"family":"Zhang","given":"Yilong"},{"family":"Zhu","given":"Qiyun"},{"family":"Knight","given":"Rob"},{"family":"Caporaso","given":"J. Gregory"}],"accessed":{"date-parts":[["2025",8,25]]},"issued":{"date-parts":[["2019",8]]}},"label":"page"},{"id":5117,"uris":["http://zotero.org/users/12153917/items/5GDQGDV2"],"itemData":{"id":5117,"type":"article-journal","abstract":"We present the open-source software package DADA2 for modeling and correcting Illumina-sequenced amplicon errors (https://github.com/benjjneb/dada2). DADA2 infers sample sequences exactly and resolves differences of as little as 1 nucleotide. In several mock communities, DADA2 identified more real variants and output fewer spurious sequences than other methods. We applied DADA2 to vaginal samples from a cohort of pregnant women, revealing a diversity of previously undetected Lactobacillus crispatus variants.","container-title":"Nature Methods","DOI":"10.1038/nmeth.3869","ISSN":"1548-7105","issue":"7","journalAbbreviation":"Nat Methods","language":"eng","note":"PMID: 27214047\nPMCID: PMC4927377","page":"581-583","source":"PubMed","title":"DADA2: High-resolution sample inference from Illumina amplicon data","title-short":"DADA2","volume":"13","author":[{"family":"Callahan","given":"Benjamin J."},{"family":"McMurdie","given":"Paul J."},{"family":"Rosen","given":"Michael J."},{"family":"Han","given":"Andrew W."},{"family":"Johnson","given":"Amy Jo A."},{"family":"Holmes","given":"Susan P."}],"issued":{"date-parts":[["2016",7]]}},"label":"page"},{"id":5112,"uris":["http://zotero.org/users/12153917/items/2Z6NNTBC"],"itemData":{"id":5112,"type":"article-journal","abstract":"UNITE (https://unite.ut.ee/) is a web-based database and sequence management environment for the molecular identification of fungi. It targets the formal fungal barcode-the nuclear ribosomal internal transcribed spacer (ITS) region-and offers all ∼1 000 000 public fungal ITS sequences for reference. These are clustered into ∼459 000 species hypotheses and assigned digital object identifiers (DOIs) to promote unambiguous reference across studies. In-house and web-based third-party sequence curation and annotation have resulted in more than 275 000 improvements to the data over the past 15 years. UNITE serves as a data provider for a range of metabarcoding software pipelines and regularly exchanges data with all major fungal sequence databases and other community resources. Recent improvements include redesigned handling of unclassifiable species hypotheses, integration with the taxonomic backbone of the Global Biodiversity Information Facility, and support for an unlimited number of parallel taxonomic classification systems.","container-title":"Nucleic Acids Research","DOI":"10.1093/nar/gky1022","ISSN":"1362-4962","issue":"D1","journalAbbreviation":"Nucleic Acids Res","language":"eng","note":"PMID: 30371820\nPMCID: PMC6324048\nTLDR: UNITE is a web-based database and sequence management environment for the molecular identification of fungi that targets the formal fungal barcode—the nuclear ribosomal internal transcribed spacer region—and offers all public fungal ITS sequences for reference.","page":"D259-D264","source":"PubMed","title":"The UNITE database for molecular identification of fungi: handling dark taxa and parallel taxonomic classifications","title-short":"The UNITE database for molecular identification of fungi","volume":"47","author":[{"family":"Nilsson","given":"Rolf Henrik"},{"family":"Larsson","given":"Karl-Henrik"},{"family":"Taylor","given":"Andy F. S."},{"family":"Bengtsson-Palme","given":"Johan"},{"family":"Jeppesen","given":"Thomas S."},{"family":"Schigel","given":"Dmitry"},{"family":"Kennedy","given":"Peter"},{"family":"Picard","given":"Kathryn"},{"family":"Glöckner","given":"Frank Oliver"},{"family":"Tedersoo","given":"Leho"},{"family":"Saar","given":"Irja"},{"family":"Kõljalg","given":"Urmas"},{"family":"Abarenkov","given":"Kessy"}],"issued":{"date-parts":[["2019",1,8]]}},"label":"page"}],"schema":"https://github.com/citation-style-language/schema/raw/master/csl-citation.json"} </w:instrText>
      </w:r>
      <w:r>
        <w:rPr>
          <w:rFonts w:hint="eastAsia" w:eastAsia="宋体"/>
          <w:sz w:val="22"/>
          <w:szCs w:val="22"/>
          <w:highlight w:val="yellow"/>
          <w:lang w:eastAsia="zh-CN"/>
        </w:rPr>
        <w:fldChar w:fldCharType="separate"/>
      </w:r>
      <w:r>
        <w:rPr>
          <w:rFonts w:hint="default" w:ascii="Times New Roman" w:hAnsi="Times New Roman"/>
          <w:sz w:val="24"/>
          <w:szCs w:val="24"/>
        </w:rPr>
        <w:t>[29–31]</w:t>
      </w:r>
      <w:r>
        <w:rPr>
          <w:rFonts w:hint="default" w:ascii="Times New Roman" w:hAnsi="Times New Roman"/>
          <w:sz w:val="24"/>
          <w:szCs w:val="24"/>
        </w:rPr>
        <w:fldChar w:fldCharType="end"/>
      </w:r>
      <w:r>
        <w:rPr>
          <w:rFonts w:hint="default"/>
          <w:sz w:val="22"/>
          <w:szCs w:val="22"/>
        </w:rPr>
        <w:t xml:space="preserve">. </w:t>
      </w:r>
      <w:r>
        <w:rPr>
          <w:rFonts w:hint="default" w:ascii="Times New Roman"/>
          <w:sz w:val="22"/>
          <w:szCs w:val="22"/>
        </w:rPr>
        <w:t>Ecological networks for leaf and root communities were constructed separately based on robust Spearman correlations (|ρ| &gt; 0.7, FDR &lt; 0.001) among OTUs with relative abundance &gt; 0.01%</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{"citationID":"N6Xwo0M8","properties":{"formattedCitation":"[32, 33]","plainCitation":"[32, 33]","noteIndex":0},"citationItems":[{"id":5123,"uris":["http://zotero.org/users/12153917/items/QKBXRM7N"],"itemData":{"id":5123,"type":"article-journal","abstract":"Revealing the linkages between community assembly and species coexistence, which is crucial for the understanding of ecosystem diversity and functioning, is a fundamental but rarely investigated subject in microbial ecology. Here we examined archaeal, bacterial, and fungal community assembly in adjacent pairs of maize (water-unsaturated) and rice (water-saturated) fields across different habitats and regions throughout Eastern China. The high-throughput sequencing dataset was analyzed by variation partitioning, null model, and neutral community model analyses. We demonstrated that microbial community assembly was governed more by species sorting than by dispersal limitation in maize fields, and to a lesser extent in rice fields. The relative importance of species sorting in maize soils was greater at low latitudes than at high latitudes, while rice soils exhibited an opposite trend. Microbial co-occurrence associations tended to be higher when communities were primarily driven by dispersal limitation relative to species sorting. There were greater community dissimilarities between maize and rice soils in low-latitude regions, which was consistent with the higher proportion of negative edges in the correlation networks. The results indicate that a balance between species sorting and dispersal limitation mediates species coexistence in soil microbiomes. This study enhances our understanding of contemporary coexistence theory in microbial ecosystems.","container-title":"The ISME Journal","DOI":"10.1038/s41396-019-0522-9","ISSN":"1751-7370","issue":"1","journalAbbreviation":"ISME J","language":"en","license":"2019 The Author(s), under exclusive licence to International Society for Microbial Ecology","note":"publisher: Nature Publishing Group\nTLDR: It is demonstrated that microbial community assembly was governed more by species sorting than by dispersal limitation in maize fields, and to a lesser extent in rice fields, which indicates that a balance between species sorting and disperseal limitation mediates species coexistence in soil microbiomes.","page":"202-216","source":"www.nature.com","title":"Balance between community assembly processes mediates species coexistence in agricultural soil microbiomes across eastern China","URL":"https://www.nature.com/articles/s41396-019-0522-9","volume":"14","author":[{"family":"Jiao","given":"Shuo"},{"family":"Yang","given":"Yunfeng"},{"family":"Xu","given":"Yiqin"},{"family":"Zhang","given":"Jie"},{"family":"Lu","given":"Yahai"}],"accessed":{"date-parts":[["2025",8,26]]},"issued":{"date-parts":[["2020",1]]}},"label":"page"},{"id":4564,"uris":["http://zotero.org/users/12153917/items/CBBC4D4W"],"itemData":{"id":4564,"type":"article-journal","abstract":"The immense diversity of soil bacterial communities has stymied efforts to characterize individual taxa and document their global distributions. We analyzed soils from 237 locations across six continents and found that only 2% of bacterial phylotypes (~500 phylotypes) consistently accounted for almost half of the soil bacterial communities worldwide. Despite the overwhelming diversity of bacterial communities, relatively few bacterial taxa are abundant in soils globally. We clustered these dominant taxa into ecological groups to build the first global atlas of soil bacterial taxa. Our study narrows down the immense number of bacterial taxa to a “most wanted” list that will be fruitful targets for genomic and cultivation-based efforts aimed at improving our understanding of soil microbes and their contributions to ecosystem functioning.","container-title":"Science","DOI":"10.1126/science.aap9516","issue":"6373","note":"publisher: American Association for the Advancement of Science\nTLDR: This study narrows down the immense number of bacterial taxa to a “most wanted” list that will be fruitful targets for genomic and cultivation-based efforts aimed at improving the understanding of soil microbes and their contributions to ecosystem functioning.\nremark: 156","page":"320-325","source":"science.org (Atypon)","title":"A global atlas of the dominant bacteria found in soil","URL":"https://www.science.org/doi/10.1126/science.aap9516","volume":"359","author":[{"family":"Delgado-Baquerizo","given":"Manuel"},{"family":"Oliverio","given":"Angela M."},{"family":"Brewer","given":"Tess E."},{"family":"Benavent-González","given":"Alberto"},{"family":"Eldridge","given":"David J."},{"family":"Bardgett","given":"Richard D."},{"family":"Maestre","given":"Fernando T."},{"family":"Singh","given":"Brajesh K."},{"family":"Fierer","given":"Noah"}],"accessed":{"date-parts":[["2025",5,25]]},"issued":{"date-parts":[["2018",1,19]]}},"label":"page"}],"schema":"https://github.com/citation-style-language/schema/raw/master/csl-citation.json"}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[32, 33]</w:t>
      </w:r>
      <w:r>
        <w:rPr>
          <w:rFonts w:hint="default" w:ascii="Times New Roman" w:hAnsi="Times New Roman" w:eastAsia="宋体"/>
          <w:sz w:val="24"/>
          <w:szCs w:val="22"/>
          <w:lang w:eastAsia="zh-CN"/>
        </w:rPr>
        <w:fldChar w:fldCharType="end"/>
      </w:r>
      <w:r>
        <w:rPr>
          <w:rFonts w:hint="default"/>
          <w:sz w:val="22"/>
          <w:szCs w:val="22"/>
        </w:rPr>
        <w:t xml:space="preserve">. </w:t>
      </w:r>
      <w:r>
        <w:rPr>
          <w:rFonts w:hint="default" w:ascii="Times New Roman"/>
          <w:sz w:val="22"/>
          <w:szCs w:val="22"/>
        </w:rPr>
        <w:t>Keystone taxa within each network were defined as nodes exhibiting both high connectivity (degree &gt; 20) and high centrality (betweenness centrality &gt; 5000)</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{"citationID":"38VHFuo3","properties":{"unsorted":false,"formattedCitation":"[9, 34]","plainCitation":"[9, 34]","noteIndex":0},"citationItems":[{"id":4496,"uris":["http://zotero.org/users/12153917/items/2JBZ7ZVQ"],"itemData":{"id":4496,"type":"article-journal","abstract":"Microorganisms have a pivotal role in the functioning of ecosystems. Recent studies have shown that microbial communities harbour keystone taxa, which drive community composition and function irrespective of their abundance. In this Opinion article, we propose a definition of keystone taxa in microbial ecology and summarize over 200 microbial keystone taxa that have been identified in soil, plant and marine ecosystems, as well as in the human microbiome. We explore the importance of keystone taxa and keystone guilds for microbiome structure and functioning and discuss the factors that determine their distribution and activities.","container-title":"Nature Reviews. Microbiology","DOI":"10.1038/s41579-018-0024-1","ISSN":"1740-1534","issue":"9","journalAbbreviation":"Nat Rev Microbiol","language":"eng","note":"PMID: 29789680\nTLDR: A definition of keystone taxa in microbial ecology is proposed and over 200 microbial keystoneTaxa that have been identified in soil, plant and marine ecosystems, as well as in the human microbiome are summarized.","page":"567-576","source":"PubMed","title":"Keystone taxa as drivers of microbiome structure and functioning","volume":"16","author":[{"family":"Banerjee","given":"Samiran"},{"family":"Schlaeppi","given":"Klaus"},{"family":"Heijden","given":"Marcel G. A.","non-dropping-particle":"van der"}],"issued":{"date-parts":[["2018",9]]}},"label":"page"},{"id":4567,"uris":["http://zotero.org/users/12153917/items/I5QTMZL4"],"itemData":{"id":4567,"type":"article-journal","abstract":"The igraph software package provides handy tools for researchers in network science. It is an open source portable library capable of handling huge graphs with millions of vertices and edges and it is also suitable to grid computing. It contains routines for creating, manipulating and visualizing networks, calculating various structural properties, importing from and exporting to various file formats and many more. Via its interfaces to high-level languages like GNU R and Python it supports rapid development and fast prototyping.","container-title":"Interjournal Complex Systems","note":"citation: 4912\nview: 3360\nlike: 0\nremark: 157","source":"Baidu Scholar","title":"The igraph software package for complex network research","URL":"https://xueshu.baidu.com/usercenter/paper/show?paperid=14d598495fa2168916e28a37ef6d12ec","volume":"1695","author":[{"family":"Csardi","given":"Gabor"},{"family":"Nepusz","given":"Tamas"}],"accessed":{"date-parts":[["2025",5,25]]},"issued":{"date-parts":[["2006"]]}},"label":"page"}],"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[9, 34]</w:t>
      </w:r>
      <w:r>
        <w:rPr>
          <w:rFonts w:hint="default" w:ascii="Times New Roman" w:hAnsi="Times New Roman" w:eastAsia="宋体"/>
          <w:sz w:val="24"/>
          <w:szCs w:val="22"/>
          <w:lang w:eastAsia="zh-CN"/>
        </w:rPr>
        <w:fldChar w:fldCharType="end"/>
      </w:r>
      <w:r>
        <w:rPr>
          <w:rFonts w:hint="default" w:ascii="Times New Roman"/>
          <w:sz w:val="22"/>
          <w:szCs w:val="22"/>
        </w:rPr>
        <w:t>.</w:t>
      </w:r>
    </w:p>
    <w:p w14:paraId="4A9525B1">
      <w:pPr>
        <w:pStyle w:val="33"/>
        <w:spacing w:beforeLines="0" w:afterLines="0"/>
        <w:rPr>
          <w:rFonts w:hint="default" w:ascii="Times New Roman"/>
          <w:sz w:val="22"/>
          <w:szCs w:val="22"/>
        </w:rPr>
      </w:pPr>
    </w:p>
    <w:p w14:paraId="6E06DB32">
      <w:pPr>
        <w:pStyle w:val="32"/>
        <w:spacing w:beforeLines="0" w:afterLines="0"/>
        <w:rPr>
          <w:rFonts w:hint="default" w:ascii="Times New Roman"/>
          <w:sz w:val="22"/>
          <w:szCs w:val="22"/>
        </w:rPr>
      </w:pPr>
      <w:r>
        <w:rPr>
          <w:rFonts w:hint="default" w:ascii="Times New Roman"/>
          <w:sz w:val="22"/>
          <w:szCs w:val="22"/>
        </w:rPr>
        <w:t>Isolation of keystone fungal taxa and verification of their saponin conversion capability</w:t>
      </w:r>
    </w:p>
    <w:p w14:paraId="45DD422A">
      <w:pPr>
        <w:pStyle w:val="33"/>
        <w:spacing w:beforeLines="0" w:afterLines="0"/>
        <w:rPr>
          <w:rFonts w:hint="default"/>
          <w:sz w:val="22"/>
          <w:szCs w:val="22"/>
        </w:rPr>
      </w:pPr>
      <w:r>
        <w:rPr>
          <w:rFonts w:hint="default" w:ascii="Times New Roman"/>
          <w:sz w:val="22"/>
          <w:szCs w:val="22"/>
        </w:rPr>
        <w:t xml:space="preserve">Since amplicon analysis identified both Plec and Clad in all three </w:t>
      </w:r>
      <w:r>
        <w:rPr>
          <w:rFonts w:hint="default" w:ascii="Times New Roman"/>
          <w:i/>
          <w:sz w:val="22"/>
          <w:szCs w:val="22"/>
        </w:rPr>
        <w:t xml:space="preserve">Panax </w:t>
      </w:r>
      <w:r>
        <w:rPr>
          <w:rFonts w:hint="default" w:ascii="Times New Roman"/>
          <w:sz w:val="22"/>
          <w:szCs w:val="22"/>
        </w:rPr>
        <w:t xml:space="preserve">species, we only selected </w:t>
      </w:r>
      <w:r>
        <w:rPr>
          <w:rFonts w:hint="default" w:ascii="Times New Roman"/>
          <w:i/>
          <w:sz w:val="22"/>
          <w:szCs w:val="22"/>
        </w:rPr>
        <w:t>P. notoginseng</w:t>
      </w:r>
      <w:r>
        <w:rPr>
          <w:rFonts w:hint="default" w:ascii="Times New Roman"/>
          <w:sz w:val="22"/>
          <w:szCs w:val="22"/>
        </w:rPr>
        <w:t xml:space="preserve"> (a representative species) for subsequent strain isolation experiments, with specific sample collection years detailed in Section 2.1.</w:t>
      </w:r>
      <w:r>
        <w:rPr>
          <w:rFonts w:hint="eastAsia" w:eastAsia="宋体"/>
          <w:sz w:val="22"/>
          <w:szCs w:val="22"/>
          <w:lang w:eastAsia="zh-CN"/>
        </w:rPr>
        <w:t xml:space="preserve"> </w:t>
      </w:r>
      <w:r>
        <w:rPr>
          <w:rFonts w:hint="default" w:ascii="Times New Roman"/>
          <w:sz w:val="22"/>
          <w:szCs w:val="22"/>
        </w:rPr>
        <w:t>Based on the amplicon results, P. notoginseng was selected for fungal isolation</w:t>
      </w:r>
      <w:r>
        <w:rPr>
          <w:rFonts w:hint="default" w:ascii="Times New Roman" w:hAnsi="Times New Roman" w:cs="Arial"/>
          <w:kern w:val="2"/>
          <w:sz w:val="22"/>
          <w:szCs w:val="24"/>
          <w:lang w:eastAsia="zh-CN"/>
        </w:rPr>
        <w:fldChar w:fldCharType="begin"/>
      </w:r>
      <w:r>
        <w:rPr>
          <w:rFonts w:hint="default" w:ascii="Times New Roman" w:hAnsi="Times New Roman" w:cs="Arial"/>
          <w:kern w:val="2"/>
          <w:sz w:val="22"/>
          <w:szCs w:val="24"/>
          <w:lang w:eastAsia="zh-CN"/>
        </w:rPr>
        <w:instrText xml:space="preserve"> ADDIN ZOTERO_ITEM CSL_CITATION {"citationID":"HzYn2x0U","properties":{"formattedCitation":"[28]","plainCitation":"[28]","noteIndex":0},"citationItems":[{"id":4424,"uris":["http://zotero.org/users/12153917/items/QJD6EQ4V"],"itemData":{"id":4424,"type":"article-journal","abstract":"Although interplays between plant and coevolved microorganisms are believed to drive landscape formation and ecosystem services, the relationships between the mycobiome and phytochemical evolution and the evolutionary characteristics of plant-mycobiome interaction patterns are still unclear. The present study explored fungal communities from 405 multiniche samples of three Holarctic disjunct Panax species. The overall mycobiomes showed compartment-dominated variations and dynamic universality. Neutral models were fitted for each compartment at the Panax genus (I) and species (II) levels to infer the community assembly mechanism and identify fungal subgroups potentially representing different plant-fungi interaction results, i.e., the potentially selected, opposed, and neutral taxa. Selection contributed more to the endosphere than to external compartments. The nonneutral taxa showed significant phylogenetic clustering. In Model I, the opposed subgroups could best reflect Panax saponin diversities (r = 0.69), and genera with highly positive correlations to specific saponins were identified using machine learning. Although mycobiomes in the three species differed significantly, subgroups in Model II were phylogenetically clustered based on potential interaction type rather than plant species, indicating potentially conservative plant-fungi interactions. In summary, the finding of strong links between invaders and saponin diversity can help explore the underlying mechanisms of saponin biosynthesis evolution from microbial insights, which is important to understanding the formation of the current landscape. The potential conservatism of plant-fungi interaction patterns suggests that the related genetic modules and selection pressures were convergent across Panax species, advancing our understanding of plant interplay with biotic environments.","container-title":"The Science of the Total Environment","DOI":"10.1016/j.scitotenv.2022.154583","ISSN":"1879-1026","journalAbbreviation":"Sci Total Environ","language":"en","note":"PMID: 35304141\nTLDR: The potential conservatism of plant-fungi interaction patterns suggests that the related genetic modules and selection pressures were convergent across Panax species, advancing the understanding of plant interplay with biotic environments.","page":"154583","source":"PubMed","title":"Evidence for saponin diversity-mycobiome links and conservatism of plant-fungi interaction patterns across Holarctic disjunct Panax species","volume":"830","author":[{"family":"Zhang","given":"Guozhuang"},{"family":"Wei","given":"Fugang"},{"family":"Chen","given":"Zhongjian"},{"family":"Wang","given":"Yong"},{"family":"Jiao","given":"Shuo"},{"family":"Yang","given":"JiaYing"},{"family":"Chen","given":"Yongzhong"},{"family":"Liu","given":"Congsheng"},{"family":"Huang","given":"Zhixin"},{"family":"Dong","given":"Linlin"},{"family":"Chen","given":"Shilin"}],"issued":{"date-parts":[["2022",7,15]]}}}],"schema":"https://github.com/citation-style-language/schema/raw/master/csl-citation.json"} </w:instrText>
      </w:r>
      <w:r>
        <w:rPr>
          <w:rFonts w:hint="default" w:ascii="Times New Roman" w:hAnsi="Times New Roman" w:cs="Arial"/>
          <w:kern w:val="2"/>
          <w:sz w:val="22"/>
          <w:szCs w:val="24"/>
          <w:lang w:eastAsia="zh-CN"/>
        </w:rPr>
        <w:fldChar w:fldCharType="separate"/>
      </w:r>
      <w:r>
        <w:rPr>
          <w:rFonts w:hint="default" w:ascii="Times New Roman" w:hAnsi="Times New Roman" w:eastAsia="宋体"/>
          <w:sz w:val="22"/>
          <w:szCs w:val="22"/>
          <w:lang w:eastAsia="zh-CN"/>
        </w:rPr>
        <w:t>[28]</w:t>
      </w:r>
      <w:r>
        <w:rPr>
          <w:rFonts w:hint="default" w:ascii="Times New Roman" w:hAnsi="Times New Roman" w:eastAsia="宋体"/>
          <w:sz w:val="22"/>
          <w:szCs w:val="22"/>
          <w:lang w:eastAsia="zh-CN"/>
        </w:rPr>
        <w:fldChar w:fldCharType="end"/>
      </w:r>
      <w:r>
        <w:rPr>
          <w:rFonts w:hint="default"/>
          <w:sz w:val="22"/>
          <w:szCs w:val="22"/>
        </w:rPr>
        <w:t>. Specifically, surface-sterilized leaf or root segments were placed on PDA plates containing 1% streptomycin. The colonies growing from the edges of plant tissues were transferred to new PDA plates. This transfer step was repeated at least three times to obtain pure strains. The isolated strains were identified by molecular marker with the ITS1F/ITS2R primer pair. Subsequently, the strains exhibiting the highest average sequence identity to the molecular marker of the pre</w:t>
      </w:r>
      <w:r>
        <w:rPr>
          <w:rFonts w:hint="eastAsia" w:eastAsia="宋体"/>
          <w:sz w:val="22"/>
          <w:szCs w:val="22"/>
          <w:lang w:eastAsia="zh-CN"/>
        </w:rPr>
        <w:tab/>
      </w:r>
      <w:r>
        <w:rPr>
          <w:rFonts w:hint="default"/>
          <w:sz w:val="22"/>
          <w:szCs w:val="22"/>
        </w:rPr>
        <w:t>viously identified keystone taxa (Plectosphaerella and Cladosporium) were chosen for further functional analyses</w:t>
      </w:r>
      <w:r>
        <w:rPr>
          <w:rFonts w:hint="default" w:ascii="Times New Roman" w:hAnsi="Times New Roman" w:cs="Arial"/>
          <w:kern w:val="2"/>
          <w:sz w:val="22"/>
          <w:szCs w:val="24"/>
          <w:lang w:eastAsia="zh-CN"/>
        </w:rPr>
        <w:fldChar w:fldCharType="begin"/>
      </w:r>
      <w:r>
        <w:rPr>
          <w:rFonts w:hint="default" w:ascii="Times New Roman" w:hAnsi="Times New Roman" w:cs="Arial"/>
          <w:kern w:val="2"/>
          <w:sz w:val="22"/>
          <w:szCs w:val="24"/>
          <w:lang w:eastAsia="zh-CN"/>
        </w:rPr>
        <w:instrText xml:space="preserve"> ADDIN ZOTERO_ITEM CSL_CITATION {"citationID":"g529pJzt","properties":{"formattedCitation":"[28]","plainCitation":"[28]","noteIndex":0},"citationItems":[{"id":4424,"uris":["http://zotero.org/users/12153917/items/QJD6EQ4V"],"itemData":{"id":4424,"type":"article-journal","abstract":"Although interplays between plant and coevolved microorganisms are believed to drive landscape formation and ecosystem services, the relationships between the mycobiome and phytochemical evolution and the evolutionary characteristics of plant-mycobiome interaction patterns are still unclear. The present study explored fungal communities from 405 multiniche samples of three Holarctic disjunct Panax species. The overall mycobiomes showed compartment-dominated variations and dynamic universality. Neutral models were fitted for each compartment at the Panax genus (I) and species (II) levels to infer the community assembly mechanism and identify fungal subgroups potentially representing different plant-fungi interaction results, i.e., the potentially selected, opposed, and neutral taxa. Selection contributed more to the endosphere than to external compartments. The nonneutral taxa showed significant phylogenetic clustering. In Model I, the opposed subgroups could best reflect Panax saponin diversities (r = 0.69), and genera with highly positive correlations to specific saponins were identified using machine learning. Although mycobiomes in the three species differed significantly, subgroups in Model II were phylogenetically clustered based on potential interaction type rather than plant species, indicating potentially conservative plant-fungi interactions. In summary, the finding of strong links between invaders and saponin diversity can help explore the underlying mechanisms of saponin biosynthesis evolution from microbial insights, which is important to understanding the formation of the current landscape. The potential conservatism of plant-fungi interaction patterns suggests that the related genetic modules and selection pressures were convergent across Panax species, advancing our understanding of plant interplay with biotic environments.","container-title":"The Science of the Total Environment","DOI":"10.1016/j.scitotenv.2022.154583","ISSN":"1879-1026","journalAbbreviation":"Sci Total Environ","language":"en","note":"PMID: 35304141\nTLDR: The potential conservatism of plant-fungi interaction patterns suggests that the related genetic modules and selection pressures were convergent across Panax species, advancing the understanding of plant interplay with biotic environments.","page":"154583","source":"PubMed","title":"Evidence for saponin diversity-mycobiome links and conservatism of plant-fungi interaction patterns across Holarctic disjunct Panax species","volume":"830","author":[{"family":"Zhang","given":"Guozhuang"},{"family":"Wei","given":"Fugang"},{"family":"Chen","given":"Zhongjian"},{"family":"Wang","given":"Yong"},{"family":"Jiao","given":"Shuo"},{"family":"Yang","given":"JiaYing"},{"family":"Chen","given":"Yongzhong"},{"family":"Liu","given":"Congsheng"},{"family":"Huang","given":"Zhixin"},{"family":"Dong","given":"Linlin"},{"family":"Chen","given":"Shilin"}],"issued":{"date-parts":[["2022",7,15]]}}}],"schema":"https://github.com/citation-style-language/schema/raw/master/csl-citation.json"} </w:instrText>
      </w:r>
      <w:r>
        <w:rPr>
          <w:rFonts w:hint="default" w:ascii="Times New Roman" w:hAnsi="Times New Roman" w:cs="Arial"/>
          <w:kern w:val="2"/>
          <w:sz w:val="22"/>
          <w:szCs w:val="24"/>
          <w:lang w:eastAsia="zh-CN"/>
        </w:rPr>
        <w:fldChar w:fldCharType="separate"/>
      </w:r>
      <w:r>
        <w:rPr>
          <w:rFonts w:hint="default" w:ascii="Times New Roman" w:hAnsi="Times New Roman" w:eastAsia="宋体"/>
          <w:sz w:val="22"/>
          <w:szCs w:val="22"/>
          <w:lang w:eastAsia="zh-CN"/>
        </w:rPr>
        <w:t>[28]</w:t>
      </w:r>
      <w:r>
        <w:rPr>
          <w:rFonts w:hint="default" w:ascii="Times New Roman" w:hAnsi="Times New Roman" w:eastAsia="宋体"/>
          <w:sz w:val="22"/>
          <w:szCs w:val="22"/>
          <w:lang w:eastAsia="zh-CN"/>
        </w:rPr>
        <w:fldChar w:fldCharType="end"/>
      </w:r>
      <w:r>
        <w:rPr>
          <w:rFonts w:hint="default"/>
          <w:sz w:val="22"/>
          <w:szCs w:val="22"/>
        </w:rPr>
        <w:t xml:space="preserve">. </w:t>
      </w:r>
    </w:p>
    <w:p w14:paraId="6C9F3DE6">
      <w:pPr>
        <w:pStyle w:val="33"/>
        <w:spacing w:beforeLines="0" w:afterLines="0"/>
        <w:rPr>
          <w:rFonts w:hint="default" w:ascii="Times New Roman"/>
          <w:sz w:val="22"/>
          <w:szCs w:val="22"/>
        </w:rPr>
      </w:pPr>
      <w:r>
        <w:rPr>
          <w:rFonts w:hint="default" w:ascii="Times New Roman"/>
          <w:sz w:val="22"/>
          <w:szCs w:val="22"/>
        </w:rPr>
        <w:t xml:space="preserve">The saponin-transforming ability of the potential keystone fungal strains was evaluated by co-culturing the fungi with a mixed saponin substrate including ginsenoside Rb1, Rb2, Rc, Rd, Rg1, Re, and notoginsenoside R1 (NR1). In detail, each culture flask containing 10 mL of PDB medium was inoculated with one of the two fungal keystone strains. This was followed by the addition of 100 μL of a mixed saponin solution. The flasks were then incubated at 25 ℃ with shaking at 160 rpm for 7 days. For the </w:t>
      </w:r>
      <w:r>
        <w:rPr>
          <w:rFonts w:hint="default"/>
          <w:sz w:val="22"/>
          <w:szCs w:val="22"/>
        </w:rPr>
        <w:t>contro</w:t>
      </w:r>
      <w:r>
        <w:rPr>
          <w:rFonts w:hint="default" w:ascii="Times New Roman"/>
          <w:sz w:val="22"/>
          <w:szCs w:val="22"/>
        </w:rPr>
        <w:t>l group, no strains were inoculated. After incubation, the culture broth was snap-frozen, freeze-dried, and the lyophilized residue was subsequently extracted by sonication in methanol. The resulting extract was filtered, and the saponin content in the supernatant was quantified by High-Performance Liquid Chromatography (HPLC) according to Zhang et al</w:t>
      </w:r>
      <w:r>
        <w:rPr>
          <w:rFonts w:hint="default" w:ascii="Times New Roman" w:hAnsi="Times New Roman"/>
          <w:kern w:val="2"/>
          <w:sz w:val="22"/>
          <w:szCs w:val="24"/>
          <w:lang w:eastAsia="zh-CN"/>
        </w:rPr>
        <w:fldChar w:fldCharType="begin"/>
      </w:r>
      <w:r>
        <w:rPr>
          <w:rFonts w:hint="default" w:ascii="Times New Roman" w:hAnsi="Times New Roman"/>
          <w:kern w:val="2"/>
          <w:sz w:val="22"/>
          <w:szCs w:val="24"/>
          <w:lang w:eastAsia="zh-CN"/>
        </w:rPr>
        <w:instrText xml:space="preserve"> ADDIN ZOTERO_ITEM CSL_CITATION {"citationID":"bhhu4vTN","properties":{"formattedCitation":"[28]","plainCitation":"[28]","noteIndex":0},"citationItems":[{"id":4424,"uris":["http://zotero.org/users/12153917/items/QJD6EQ4V"],"itemData":{"id":4424,"type":"article-journal","abstract":"Although interplays between plant and coevolved microorganisms are believed to drive landscape formation and ecosystem services, the relationships between the mycobiome and phytochemical evolution and the evolutionary characteristics of plant-mycobiome interaction patterns are still unclear. The present study explored fungal communities from 405 multiniche samples of three Holarctic disjunct Panax species. The overall mycobiomes showed compartment-dominated variations and dynamic universality. Neutral models were fitted for each compartment at the Panax genus (I) and species (II) levels to infer the community assembly mechanism and identify fungal subgroups potentially representing different plant-fungi interaction results, i.e., the potentially selected, opposed, and neutral taxa. Selection contributed more to the endosphere than to external compartments. The nonneutral taxa showed significant phylogenetic clustering. In Model I, the opposed subgroups could best reflect Panax saponin diversities (r = 0.69), and genera with highly positive correlations to specific saponins were identified using machine learning. Although mycobiomes in the three species differed significantly, subgroups in Model II were phylogenetically clustered based on potential interaction type rather than plant species, indicating potentially conservative plant-fungi interactions. In summary, the finding of strong links between invaders and saponin diversity can help explore the underlying mechanisms of saponin biosynthesis evolution from microbial insights, which is important to understanding the formation of the current landscape. The potential conservatism of plant-fungi interaction patterns suggests that the related genetic modules and selection pressures were convergent across Panax species, advancing our understanding of plant interplay with biotic environments.","container-title":"The Science of the Total Environment","DOI":"10.1016/j.scitotenv.2022.154583","ISSN":"1879-1026","journalAbbreviation":"Sci Total Environ","language":"en","note":"PMID: 35304141\nTLDR: The potential conservatism of plant-fungi interaction patterns suggests that the related genetic modules and selection pressures were convergent across Panax species, advancing the understanding of plant interplay with biotic environments.","page":"154583","source":"PubMed","title":"Evidence for saponin diversity-mycobiome links and conservatism of plant-fungi interaction patterns across Holarctic disjunct Panax species","volume":"830","author":[{"family":"Zhang","given":"Guozhuang"},{"family":"Wei","given":"Fugang"},{"family":"Chen","given":"Zhongjian"},{"family":"Wang","given":"Yong"},{"family":"Jiao","given":"Shuo"},{"family":"Yang","given":"JiaYing"},{"family":"Chen","given":"Yongzhong"},{"family":"Liu","given":"Congsheng"},{"family":"Huang","given":"Zhixin"},{"family":"Dong","given":"Linlin"},{"family":"Chen","given":"Shilin"}],"issued":{"date-parts":[["2022",7,15]]}}}],"schema":"https://github.com/citation-style-language/schema/raw/master/csl-citation.json"} </w:instrText>
      </w:r>
      <w:r>
        <w:rPr>
          <w:rFonts w:hint="default" w:ascii="Times New Roman" w:hAnsi="Times New Roman"/>
          <w:kern w:val="2"/>
          <w:sz w:val="22"/>
          <w:szCs w:val="24"/>
          <w:lang w:eastAsia="zh-CN"/>
        </w:rPr>
        <w:fldChar w:fldCharType="separate"/>
      </w:r>
      <w:r>
        <w:rPr>
          <w:rFonts w:hint="default" w:ascii="Times New Roman" w:hAnsi="Times New Roman" w:eastAsia="宋体"/>
          <w:sz w:val="22"/>
          <w:szCs w:val="22"/>
          <w:lang w:eastAsia="zh-CN"/>
        </w:rPr>
        <w:t>[28]</w:t>
      </w:r>
      <w:r>
        <w:rPr>
          <w:rFonts w:hint="default" w:ascii="Times New Roman" w:hAnsi="Times New Roman" w:eastAsia="宋体"/>
          <w:sz w:val="22"/>
          <w:szCs w:val="22"/>
          <w:lang w:eastAsia="zh-CN"/>
        </w:rPr>
        <w:fldChar w:fldCharType="end"/>
      </w:r>
      <w:r>
        <w:rPr>
          <w:rFonts w:hint="default" w:ascii="Times New Roman"/>
          <w:sz w:val="22"/>
          <w:szCs w:val="22"/>
        </w:rPr>
        <w:t>.</w:t>
      </w:r>
    </w:p>
    <w:p w14:paraId="4ABFC52A">
      <w:pPr>
        <w:pStyle w:val="33"/>
        <w:spacing w:beforeLines="0" w:afterLines="0"/>
        <w:rPr>
          <w:rFonts w:hint="default" w:ascii="Times New Roman"/>
          <w:sz w:val="22"/>
          <w:szCs w:val="22"/>
        </w:rPr>
      </w:pPr>
    </w:p>
    <w:p w14:paraId="409CEB0E">
      <w:pPr>
        <w:pStyle w:val="32"/>
        <w:spacing w:beforeLines="0" w:afterLines="0"/>
        <w:rPr>
          <w:rFonts w:hint="default" w:ascii="Times New Roman"/>
          <w:sz w:val="22"/>
          <w:szCs w:val="22"/>
        </w:rPr>
      </w:pPr>
      <w:r>
        <w:rPr>
          <w:rFonts w:hint="default" w:ascii="Times New Roman"/>
          <w:sz w:val="22"/>
          <w:szCs w:val="22"/>
        </w:rPr>
        <w:t>Evaluation of β-glucosidase activity of keystone fungal strains</w:t>
      </w:r>
    </w:p>
    <w:p w14:paraId="67623585">
      <w:pPr>
        <w:pStyle w:val="33"/>
        <w:spacing w:beforeLines="0" w:afterLines="0"/>
        <w:rPr>
          <w:rFonts w:hint="default"/>
          <w:sz w:val="22"/>
          <w:szCs w:val="22"/>
        </w:rPr>
      </w:pPr>
      <w:r>
        <w:rPr>
          <w:rFonts w:hint="default"/>
          <w:sz w:val="22"/>
          <w:szCs w:val="22"/>
        </w:rPr>
        <w:t xml:space="preserve">The β-glucosidase activity </w:t>
      </w:r>
      <w:r>
        <w:rPr>
          <w:rFonts w:hint="default" w:ascii="Times New Roman"/>
          <w:sz w:val="22"/>
          <w:szCs w:val="22"/>
        </w:rPr>
        <w:t>of</w:t>
      </w:r>
      <w:r>
        <w:rPr>
          <w:rFonts w:hint="default"/>
          <w:sz w:val="22"/>
          <w:szCs w:val="22"/>
        </w:rPr>
        <w:t xml:space="preserve"> two </w:t>
      </w:r>
      <w:r>
        <w:rPr>
          <w:rFonts w:hint="default" w:ascii="Times New Roman"/>
          <w:sz w:val="22"/>
          <w:szCs w:val="22"/>
        </w:rPr>
        <w:t>fungal</w:t>
      </w:r>
      <w:r>
        <w:rPr>
          <w:rFonts w:hint="default"/>
          <w:sz w:val="22"/>
          <w:szCs w:val="22"/>
        </w:rPr>
        <w:t xml:space="preserve"> </w:t>
      </w:r>
      <w:r>
        <w:rPr>
          <w:rFonts w:hint="default" w:ascii="Times New Roman"/>
          <w:sz w:val="22"/>
          <w:szCs w:val="22"/>
        </w:rPr>
        <w:t>k</w:t>
      </w:r>
      <w:r>
        <w:rPr>
          <w:rFonts w:hint="default"/>
          <w:sz w:val="22"/>
          <w:szCs w:val="22"/>
        </w:rPr>
        <w:t>eystone strains was determined using the pNPG method</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{"citationID":"1OHbyEyN","properties":{"unsorted":false,"formattedCitation":"[35]","plainCitation":"[35]","noteIndex":0},"citationItems":[{"id":4467,"uris":["http://zotero.org/users/12153917/items/DDC6FQ3Y"],"itemData":{"id":4467,"type":"article-journal","abstract":"A novel β-glucosidase (G-II) was purified to homogeneity from a culture filtrate of the phytopathogenic fungus Cladosporium fulvum (syn. Fulvia fulva). G-II specifically cleaved the β-(1→6)-glucosidic linkage at the C-20 site of ginsenoside Rb1 to produce ginsenoside Rd, but did not hydrolyze the other β-d-glucosidic linkages in protopanaxadiol-type ginsenosides. In specificity tests, G-II was active against pNPG and disaccharides such as cellobiose and gentiobiose, but exhibited very low activities against other aryl-glycosides and methyl-α-glycosides. G-II consisted of two identical subunits with a native molecular mass of 180kDa and a pI of 4.4. The optimal pH of G-II was pH 5.5, and the enzyme was highly stable over a range of pH 5.0–11.0. The optimal temperature was 45°C, and the enzyme became unstable at temperatures above 40°C. The Km and Vmax values against pNPG were 0.19mM and 57.7μmol/(minmg), respectively. The enzyme was inhibited by Zn2+, Cu2+ (over 50mM) and SDS (250mM). However, the inhibition by SDS was partially reversed by 10mM dithiothreitol. Three oligopeptide fragments obtained after enzymatic digestion of G-II were sequenced by nanoESI-MS/MS. The amino acid sequence homology analysis showed that G-II possessed significant homology with the family 3 β-glucosidases.","container-title":"Process Biochemistry","DOI":"10.1016/j.procbio.2009.01.016","ISSN":"1359-5113","issue":"6","journalAbbreviation":"Process Biochemistry","note":"TLDR: The amino acid sequence homology analysis showed that G-II possessed significant homology with the family 3 β-glucosidases, and the enzyme was highly stable over a range of pH 5.0–11.0 and became unstable at temperatures above 40 °C.","page":"612-618","source":"ScienceDirect","title":"A novel ginsenoside Rb1-hydrolyzing β-d-glucosidase from &lt;i&gt;Cladosporium fulvum&lt;/i&gt;","URL":"https://www.sciencedirect.com/science/article/pii/S1359511309000464","volume":"44","author":[{"family":"Zhao","given":"Xuesong"},{"family":"Gao","given":"Ling"},{"family":"Wang","given":"Juan"},{"family":"Bi","given":"Hongtao"},{"family":"Gao","given":"Juan"},{"family":"Du","given":"Xiuli"},{"family":"Zhou","given":"Yifa"},{"family":"Tai","given":"Guihua"}],"accessed":{"date-parts":[["2025",5,20]]},"issued":{"date-parts":[["2009",6,1]]}},"locator":null,"label":null,"suppress-author":null,"prefix":null,"suffix":null}],"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eastAsia="宋体"/>
          <w:sz w:val="22"/>
          <w:szCs w:val="22"/>
          <w:lang w:eastAsia="zh-CN"/>
        </w:rPr>
        <w:t>[35]</w:t>
      </w:r>
      <w:r>
        <w:rPr>
          <w:rFonts w:hint="default" w:ascii="Times New Roman" w:hAnsi="Times New Roman" w:eastAsia="宋体"/>
          <w:sz w:val="22"/>
          <w:szCs w:val="22"/>
          <w:lang w:eastAsia="zh-CN"/>
        </w:rPr>
        <w:fldChar w:fldCharType="end"/>
      </w:r>
      <w:r>
        <w:rPr>
          <w:rFonts w:hint="default"/>
          <w:sz w:val="22"/>
          <w:szCs w:val="22"/>
        </w:rPr>
        <w:t>. A 10 m</w:t>
      </w:r>
      <w:r>
        <w:rPr>
          <w:rFonts w:hint="default" w:ascii="Times New Roman"/>
          <w:sz w:val="22"/>
          <w:szCs w:val="22"/>
        </w:rPr>
        <w:t>M</w:t>
      </w:r>
      <w:r>
        <w:rPr>
          <w:rFonts w:hint="default"/>
          <w:sz w:val="22"/>
          <w:szCs w:val="22"/>
        </w:rPr>
        <w:t xml:space="preserve"> pNPG solution was prepared with sodium acetate buffer (pH 5.5). Fungal culture broths were collected at 72 h, 96 h, 120 h, and 144 h after incubation in PDB medium (25°C, 160 rpm). The broths were centrifuged at 10,000×g for 10 min at 4°C, and 1 m</w:t>
      </w:r>
      <w:r>
        <w:rPr>
          <w:rFonts w:hint="default" w:ascii="Times New Roman"/>
          <w:sz w:val="22"/>
          <w:szCs w:val="22"/>
        </w:rPr>
        <w:t>l</w:t>
      </w:r>
      <w:r>
        <w:rPr>
          <w:rFonts w:hint="default"/>
          <w:sz w:val="22"/>
          <w:szCs w:val="22"/>
        </w:rPr>
        <w:t xml:space="preserve"> of the supernatant was mixed with 1 m</w:t>
      </w:r>
      <w:r>
        <w:rPr>
          <w:rFonts w:hint="default" w:ascii="Times New Roman"/>
          <w:sz w:val="22"/>
          <w:szCs w:val="22"/>
        </w:rPr>
        <w:t>l</w:t>
      </w:r>
      <w:r>
        <w:rPr>
          <w:rFonts w:hint="default"/>
          <w:sz w:val="22"/>
          <w:szCs w:val="22"/>
        </w:rPr>
        <w:t xml:space="preserve"> of 10 </w:t>
      </w:r>
      <w:r>
        <w:rPr>
          <w:rFonts w:hint="default" w:ascii="Times New Roman"/>
          <w:sz w:val="22"/>
          <w:szCs w:val="22"/>
        </w:rPr>
        <w:t>mM</w:t>
      </w:r>
      <w:r>
        <w:rPr>
          <w:rFonts w:hint="default"/>
          <w:sz w:val="22"/>
          <w:szCs w:val="22"/>
        </w:rPr>
        <w:t xml:space="preserve"> pNPG solution. The mixture was incubated in a 50°C water bath for 30 min, followed by the addition of 2 m</w:t>
      </w:r>
      <w:r>
        <w:rPr>
          <w:rFonts w:hint="default" w:ascii="Times New Roman"/>
          <w:sz w:val="22"/>
          <w:szCs w:val="22"/>
        </w:rPr>
        <w:t>l</w:t>
      </w:r>
      <w:r>
        <w:rPr>
          <w:rFonts w:hint="default"/>
          <w:sz w:val="22"/>
          <w:szCs w:val="22"/>
        </w:rPr>
        <w:t xml:space="preserve"> of 0.25</w:t>
      </w:r>
      <w:r>
        <w:rPr>
          <w:rFonts w:hint="default" w:ascii="Times New Roman"/>
          <w:sz w:val="22"/>
          <w:szCs w:val="22"/>
        </w:rPr>
        <w:t xml:space="preserve"> M</w:t>
      </w:r>
      <w:r>
        <w:rPr>
          <w:rFonts w:hint="default"/>
          <w:sz w:val="22"/>
          <w:szCs w:val="22"/>
        </w:rPr>
        <w:t xml:space="preserve"> sodium carbonate solution to terminate the reaction. After standing at room temperature for 5 min, the absorbance was measured at 405 nm using the culture broth without strain inoculation as a blank control.</w:t>
      </w:r>
    </w:p>
    <w:p w14:paraId="19A6C30A">
      <w:pPr>
        <w:pStyle w:val="33"/>
        <w:spacing w:beforeLines="0" w:afterLines="0"/>
        <w:rPr>
          <w:rFonts w:hint="default"/>
          <w:sz w:val="22"/>
          <w:szCs w:val="22"/>
        </w:rPr>
      </w:pPr>
    </w:p>
    <w:p w14:paraId="15CFA921">
      <w:pPr>
        <w:pStyle w:val="32"/>
        <w:spacing w:beforeLines="0" w:afterLines="0"/>
        <w:rPr>
          <w:rFonts w:hint="default" w:ascii="Times New Roman"/>
          <w:sz w:val="22"/>
          <w:szCs w:val="22"/>
        </w:rPr>
      </w:pPr>
      <w:r>
        <w:rPr>
          <w:rFonts w:hint="default" w:ascii="Times New Roman"/>
          <w:sz w:val="22"/>
          <w:szCs w:val="22"/>
        </w:rPr>
        <w:t>DNA, RNA extraction and sequencing of keystone fungal strains</w:t>
      </w:r>
    </w:p>
    <w:p w14:paraId="2980DE76">
      <w:pPr>
        <w:pStyle w:val="33"/>
        <w:spacing w:beforeLines="0" w:afterLines="0"/>
        <w:rPr>
          <w:rFonts w:hint="default"/>
          <w:sz w:val="22"/>
          <w:szCs w:val="22"/>
        </w:rPr>
      </w:pPr>
      <w:r>
        <w:rPr>
          <w:rFonts w:hint="default"/>
          <w:sz w:val="22"/>
          <w:szCs w:val="22"/>
        </w:rPr>
        <w:t xml:space="preserve">For DNA extraction, </w:t>
      </w:r>
      <w:r>
        <w:rPr>
          <w:rFonts w:hint="default" w:ascii="Times New Roman"/>
          <w:sz w:val="22"/>
          <w:szCs w:val="22"/>
        </w:rPr>
        <w:t>the HP Fungal DNA Midi Kit (Omega Biotek, USA)</w:t>
      </w:r>
      <w:r>
        <w:rPr>
          <w:rFonts w:hint="default"/>
          <w:sz w:val="22"/>
          <w:szCs w:val="22"/>
        </w:rPr>
        <w:t xml:space="preserve"> was used to isolate genomic DNA from fungal </w:t>
      </w:r>
      <w:r>
        <w:rPr>
          <w:rFonts w:hint="default" w:ascii="Times New Roman"/>
          <w:sz w:val="22"/>
          <w:szCs w:val="22"/>
        </w:rPr>
        <w:t xml:space="preserve">hyphae </w:t>
      </w:r>
      <w:r>
        <w:rPr>
          <w:rFonts w:hint="default"/>
          <w:sz w:val="22"/>
          <w:szCs w:val="22"/>
        </w:rPr>
        <w:t>according to the instructions. After extraction, the quality and concentration of DNA were detected by a</w:t>
      </w:r>
      <w:r>
        <w:rPr>
          <w:rFonts w:hint="default" w:ascii="Times New Roman"/>
          <w:sz w:val="22"/>
          <w:szCs w:val="22"/>
        </w:rPr>
        <w:t xml:space="preserve"> </w:t>
      </w:r>
      <w:r>
        <w:rPr>
          <w:rFonts w:hint="default"/>
          <w:sz w:val="22"/>
          <w:szCs w:val="22"/>
        </w:rPr>
        <w:t>micro</w:t>
      </w:r>
      <w:r>
        <w:rPr>
          <w:rFonts w:hint="default" w:ascii="Times New Roman"/>
          <w:sz w:val="22"/>
          <w:szCs w:val="22"/>
        </w:rPr>
        <w:t>-</w:t>
      </w:r>
      <w:r>
        <w:rPr>
          <w:rFonts w:hint="default"/>
          <w:sz w:val="22"/>
          <w:szCs w:val="22"/>
        </w:rPr>
        <w:t>spectrophotometer, which was then used for genomic sequencing.</w:t>
      </w:r>
      <w:r>
        <w:rPr>
          <w:rFonts w:hint="default" w:ascii="Times New Roman"/>
          <w:sz w:val="22"/>
          <w:szCs w:val="22"/>
        </w:rPr>
        <w:t xml:space="preserve"> The whole genome was sequenced on the Illumina platform and PacBio Sequel System by Biozeron (Shanghai, China).</w:t>
      </w:r>
      <w:r>
        <w:rPr>
          <w:rFonts w:hint="eastAsia" w:ascii="Times New Roman" w:hAnsi="Times New Roman" w:eastAsia="宋体"/>
          <w:sz w:val="21"/>
          <w:szCs w:val="22"/>
        </w:rPr>
        <w:t xml:space="preserve"> </w:t>
      </w:r>
      <w:r>
        <w:rPr>
          <w:rFonts w:hint="default"/>
          <w:sz w:val="22"/>
          <w:szCs w:val="22"/>
        </w:rPr>
        <w:t>Hybrid assembly of second and third-generation sequencing data was performed using MaSuRCA v3.4.3to combine Illumina short reads and PacBio long reads, while Canu v2.1.1was used to assemble PacBio reads independently</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{"citationID":"xWN9OQAZ","properties":{"formattedCitation":"[36, 37]","plainCitation":"[36, 37]","noteIndex":0},"citationItems":[{"id":238,"uris":["http://zotero.org/users/12153917/items/GY79AF9N"],"itemData":{"id":238,"type":"article-journal","abstract":"Long-read single-molecule sequencing has revolutionized de novo genome assembly and enabled the automated reconstruction of reference-quality genomes. However, given the relatively high error rates of such technologies, efficient and accurate assembly of large repeats and closely related haplotypes remains challenging. We address these issues with Canu, a successor of Celera Assembler that is specifically designed for noisy single-molecule sequences. Canu introduces support for nanopore sequencing, halves depth-of-coverage requirements, and improves assembly continuity while simultaneously reducing runtime by an order of magnitude on large genomes versus Celera Assembler 8.2. These advances result from new overlapping and assembly algorithms, including an adaptive overlapping strategy based on tf-idf weighted MinHash and a sparse assembly graph construction that avoids collapsing diverged repeats and haplotypes. We demonstrate that Canu can reliably assemble complete microbial genomes and near-complete eukaryotic chromosomes using either Pacific Biosciences (PacBio) or Oxford Nanopore technologies and achieves a contig NG50 of &gt;21 Mbp on both human and Drosophila melanogaster PacBio data sets. For assembly structures that cannot be linearly represented, Canu provides graph-based assembly outputs in graphical fragment assembly (GFA) format for analysis or integration with complementary phasing and scaffolding techniques. The combination of such highly resolved assembly graphs with long-range scaffolding information promises the complete and automated assembly of complex genomes.","container-title":"Genome Research","DOI":"10.1101/gr.215087.116","ISSN":"1549-5469","issue":"5","journalAbbreviation":"Genome Res","language":"en","note":"PMID: 28298431\nPMCID: PMC5411767","page":"722-736","source":"PubMed","title":"Canu: scalable and accurate long-read assembly via adaptive k-mer weighting and repeat separation","title-short":"Canu","volume":"27","author":[{"family":"Koren","given":"Sergey"},{"family":"Walenz","given":"Brian P."},{"family":"Berlin","given":"Konstantin"},{"family":"Miller","given":"Jason R."},{"family":"Bergman","given":"Nicholas H."},{"family":"Phillippy","given":"Adam M."}],"issued":{"date-parts":[["2017",5]]}}},{"id":239,"uris":["http://zotero.org/users/12153917/items/VQFPEGK5"],"itemData":{"id":239,"type":"article-journal","abstract":"MOTIVATION: Second-generation sequencing technologies produce high coverage of the genome by short reads at a low cost, which has prompted development of new assembly methods. In particular, multiple algorithms based on de Bruijn graphs have been shown to be effective for the assembly problem. In this article, we describe a new hybrid approach that has the computational efficiency of de Bruijn graph methods and the flexibility of overlap-based assembly strategies, and which allows variable read lengths while tolerating a significant level of sequencing error. Our method transforms large numbers of paired-end reads into a much smaller number of longer 'super-reads'. The use of super-reads allows us to assemble combinations of Illumina reads of differing lengths together with longer reads from 454 and Sanger sequencing technologies, making it one of the few assemblers capable of handling such mixtures. We call our system the Maryland Super-Read Celera Assembler (abbreviated MaSuRCA and pronounced 'mazurka').\nRESULTS: We evaluate the performance of MaSuRCA against two of the most widely used assemblers for Illumina data, Allpaths-LG and SOAPdenovo2, on two datasets from organisms for which high-quality assemblies are available: the bacterium Rhodobacter sphaeroides and chromosome 16 of the mouse genome. We show that MaSuRCA performs on par or better than Allpaths-LG and significantly better than SOAPdenovo on these data, when evaluated against the finished sequence. We then show that MaSuRCA can significantly improve its assemblies when the original data are augmented with long reads.\nAVAILABILITY: MaSuRCA is available as open-source code at ftp://ftp.genome.umd.edu/pub/MaSuRCA/. Previous (pre-publication) releases have been publicly available for over a year.\nCONTACT: alekseyz@ipst.umd.edu.\nSUPPLEMENTARY INFORMATION: Supplementary data are available at Bioinformatics online.","container-title":"Bioinformatics (Oxford, England)","DOI":"10.1093/bioinformatics/btt476","ISSN":"1367-4811","issue":"21","journalAbbreviation":"Bioinformatics","language":"en","note":"PMID: 23990416\nPMCID: PMC3799473","page":"2669-2677","source":"PubMed","title":"The MaSuRCA genome assembler","volume":"29","author":[{"family":"Zimin","given":"Aleksey V."},{"family":"Marçais","given":"Guillaume"},{"family":"Puiu","given":"Daniela"},{"family":"Roberts","given":"Michael"},{"family":"Salzberg","given":"Steven L."},{"family":"Yorke","given":"James A."}],"issued":{"date-parts":[["2013",11,1]]}}}],"schema":"https://github.com/citation-style-language/schema/raw/master/csl-citation.json"}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[36, 37]</w:t>
      </w:r>
      <w:r>
        <w:rPr>
          <w:rFonts w:hint="default" w:ascii="Times New Roman" w:hAnsi="Times New Roman" w:eastAsia="宋体"/>
          <w:sz w:val="24"/>
          <w:szCs w:val="22"/>
          <w:lang w:eastAsia="zh-CN"/>
        </w:rPr>
        <w:fldChar w:fldCharType="end"/>
      </w:r>
      <w:r>
        <w:rPr>
          <w:rFonts w:hint="default"/>
          <w:sz w:val="22"/>
          <w:szCs w:val="22"/>
        </w:rPr>
        <w:t>. MUMer v4.0 integrated the MaSuRCA and Canu assemblies and removed redundancy</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{"citationID":"5D3dlqL8","properties":{"formattedCitation":"[38]","plainCitation":"[38]","noteIndex":0},"citationItems":[{"id":237,"uris":["http://zotero.org/users/12153917/items/KMZ79CYY"],"itemData":{"id":237,"type":"article-journal","container-title":"PLOS Computational Biology","DOI":"10.1371/journal.pcbi.1005944","ISSN":"1553-7358","issue":"1","journalAbbreviation":"PLoS Comput Biol","language":"en","page":"e1005944","source":"DOI.org (Crossref)","title":"MUMmer4: A fast and versatile genome alignment system","title-short":"MUMmer4","URL":"https://dx.plos.org/10.1371/journal.pcbi.1005944","volume":"14","author":[{"family":"Marçais","given":"Guillaume"},{"family":"Delcher","given":"Arthur L."},{"family":"Phillippy","given":"Adam M."},{"family":"Coston","given":"Rachel"},{"family":"Salzberg","given":"Steven L."},{"family":"Zimin","given":"Aleksey"}],"editor":[{"family":"Darling","given":"Aaron E."}],"accessed":{"date-parts":[["2024",6,23]]},"issued":{"date-parts":[["2018",1,26]]}}}],"schema":"https://github.com/citation-style-language/schema/raw/master/csl-citation.json"}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[38]</w:t>
      </w:r>
      <w:r>
        <w:rPr>
          <w:rFonts w:hint="default" w:ascii="Times New Roman" w:hAnsi="Times New Roman" w:eastAsia="宋体"/>
          <w:sz w:val="24"/>
          <w:szCs w:val="22"/>
          <w:lang w:eastAsia="zh-CN"/>
        </w:rPr>
        <w:fldChar w:fldCharType="end"/>
      </w:r>
      <w:r>
        <w:rPr>
          <w:rFonts w:hint="default"/>
          <w:sz w:val="22"/>
          <w:szCs w:val="22"/>
        </w:rPr>
        <w:t>. The integrated genome was polished with Racon for three rounds and further corrected with Pilon for at least three rounds to ensure 99.9% accuracy</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{"citationID":"uJSV0EPy","properties":{"formattedCitation":"[39, 40]","plainCitation":"[39, 40]","noteIndex":0},"citationItems":[{"id":240,"uris":["http://zotero.org/users/12153917/items/3DYHV9X2"],"itemData":{"id":240,"type":"article-journal","container-title":"PLoS ONE","DOI":"10.1371/journal.pone.0112963","ISSN":"1932-6203","issue":"11","journalAbbreviation":"PLoS ONE","language":"en","page":"e112963","source":"DOI.org (Crossref)","title":"Pilon: An Integrated Tool for Comprehensive Microbial Variant Detection and Genome Assembly Improvement","title-short":"Pilon","URL":"https://dx.plos.org/10.1371/journal.pone.0112963","volume":"9","author":[{"family":"Walker","given":"Bruce J."},{"family":"Abeel","given":"Thomas"},{"family":"Shea","given":"Terrance"},{"family":"Priest","given":"Margaret"},{"family":"Abouelliel","given":"Amr"},{"family":"Sakthikumar","given":"Sharadha"},{"family":"Cuomo","given":"Christina A."},{"family":"Zeng","given":"Qiandong"},{"family":"Wortman","given":"Jennifer"},{"family":"Young","given":"Sarah K."},{"family":"Earl","given":"Ashlee M."}],"editor":[{"family":"Wang","given":"Junwen"}],"accessed":{"date-parts":[["2024",6,23]]},"issued":{"date-parts":[["2014",11,19]]}}},{"id":236,"uris":["http://zotero.org/users/12153917/items/9LTFDFM5"],"itemData":{"id":236,"type":"article-journal","abstract":"The assembly of long reads from Pacific Biosciences and Oxford Nanopore Technologies typically requires resource-intensive error-correction and consensus-generation steps to obtain high-quality assemblies. We show that the error-correction step can be omitted and that high-quality consensus sequences can be generated efficiently with a SIMD-accelerated, partial-order alignment–based, stand-alone consensus module called Racon. Based on tests with PacBio and Oxford Nanopore data sets, we show that Racon coupled with miniasm enables consensus genomes with similar or better quality than state-of-the-art methods while being an order of magnitude faster.","container-title":"Genome Research","DOI":"10.1101/gr.214270.116","ISSN":"1088-9051, 1549-5469","issue":"5","journalAbbreviation":"Genome Res.","language":"en","page":"737-746","source":"DOI.org (Crossref)","title":"Fast and accurate de novo genome assembly from long uncorrected reads","URL":"http://genome.cshlp.org/lookup/doi/10.1101/gr.214270.116","volume":"27","author":[{"family":"Vaser","given":"Robert"},{"family":"Sović","given":"Ivan"},{"family":"Nagarajan","given":"Niranjan"},{"family":"Šikić","given":"Mile"}],"accessed":{"date-parts":[["2024",6,23]]},"issued":{"date-parts":[["2017",5]]}}}],"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[39, 40]</w:t>
      </w:r>
      <w:r>
        <w:rPr>
          <w:rFonts w:hint="default" w:ascii="Times New Roman" w:hAnsi="Times New Roman" w:eastAsia="宋体"/>
          <w:sz w:val="24"/>
          <w:szCs w:val="22"/>
          <w:lang w:eastAsia="zh-CN"/>
        </w:rPr>
        <w:fldChar w:fldCharType="end"/>
      </w:r>
      <w:r>
        <w:rPr>
          <w:rFonts w:hint="default"/>
          <w:sz w:val="22"/>
          <w:szCs w:val="22"/>
        </w:rPr>
        <w:t>.</w:t>
      </w:r>
    </w:p>
    <w:p w14:paraId="1EEECDF4">
      <w:pPr>
        <w:pStyle w:val="33"/>
        <w:spacing w:beforeLines="0" w:afterLines="0"/>
        <w:rPr>
          <w:rFonts w:hint="eastAsia" w:eastAsia="宋体"/>
          <w:sz w:val="22"/>
          <w:szCs w:val="22"/>
          <w:lang w:eastAsia="zh-CN"/>
        </w:rPr>
      </w:pPr>
      <w:r>
        <w:rPr>
          <w:rFonts w:hint="default" w:ascii="Times New Roman"/>
          <w:sz w:val="22"/>
          <w:szCs w:val="22"/>
        </w:rPr>
        <w:t>Since</w:t>
      </w:r>
      <w:r>
        <w:rPr>
          <w:rFonts w:hint="default"/>
          <w:sz w:val="22"/>
          <w:szCs w:val="22"/>
        </w:rPr>
        <w:t xml:space="preserve"> β-glucosidase</w:t>
      </w:r>
      <w:r>
        <w:rPr>
          <w:rFonts w:hint="default" w:ascii="Times New Roman"/>
          <w:sz w:val="22"/>
          <w:szCs w:val="22"/>
        </w:rPr>
        <w:t xml:space="preserve"> can hydrolyze the glycosidic bonds of disaccharides or polysaccharides, the two fungal strains were cultured in YPD (Yeast Extract-Peptone-Dextrose Medium) and Cel-YPD (with glucose replaced by cellobiose only) respectively. After 5 to 7 days of cultivation until sufficient mycelia were obtained, total RNA was extracted using the Fungal Total RNA Isolation Kit (Sangon, China), and RNA sequencing was performed by Biozeron (Shanghai, China). In addition, the remaining mycelia from the above two culture media were mixed with the mycelia filtered from the PDB medium, and the mixture was used as materials for third-generation full-length transcriptome sequencing, which can correct the gene structure annotation information of the fungal genome and transcriptome</w:t>
      </w:r>
      <w:r>
        <w:rPr>
          <w:rFonts w:hint="eastAsia" w:eastAsia="宋体"/>
          <w:sz w:val="22"/>
          <w:szCs w:val="22"/>
          <w:lang w:eastAsia="zh-CN"/>
        </w:rPr>
        <w:t>.</w:t>
      </w:r>
    </w:p>
    <w:p w14:paraId="79B8F178">
      <w:pPr>
        <w:pStyle w:val="33"/>
        <w:spacing w:beforeLines="0" w:afterLines="0"/>
        <w:rPr>
          <w:rFonts w:hint="eastAsia" w:eastAsia="宋体"/>
          <w:sz w:val="22"/>
          <w:szCs w:val="22"/>
          <w:lang w:eastAsia="zh-CN"/>
        </w:rPr>
      </w:pPr>
    </w:p>
    <w:p w14:paraId="702D78FA">
      <w:pPr>
        <w:pStyle w:val="32"/>
        <w:spacing w:beforeLines="0" w:afterLines="0"/>
        <w:rPr>
          <w:rFonts w:hint="default" w:ascii="Times New Roman"/>
          <w:sz w:val="22"/>
          <w:szCs w:val="22"/>
          <w:lang w:eastAsia="zh-CN"/>
        </w:rPr>
      </w:pPr>
      <w:r>
        <w:rPr>
          <w:rFonts w:hint="default" w:ascii="Times New Roman"/>
          <w:sz w:val="22"/>
          <w:szCs w:val="22"/>
          <w:lang w:eastAsia="zh-CN"/>
        </w:rPr>
        <w:t>Genomic analysis</w:t>
      </w:r>
    </w:p>
    <w:p w14:paraId="158F845E">
      <w:pPr>
        <w:pStyle w:val="33"/>
        <w:spacing w:beforeLines="0" w:afterLines="0"/>
        <w:rPr>
          <w:rFonts w:hint="default" w:ascii="Times New Roman"/>
          <w:sz w:val="22"/>
          <w:szCs w:val="22"/>
        </w:rPr>
      </w:pPr>
      <w:r>
        <w:rPr>
          <w:rFonts w:hint="default"/>
          <w:sz w:val="22"/>
          <w:szCs w:val="22"/>
        </w:rPr>
        <w:t>The protein sequences of the predicted genes were respectively subjected to blastp alignment with Nr, Swiss-Prot, eggNOG, KEGG and GO databases (BLAST+ 2.8.1, alignment criteria: E-value ≤ 1e-5)</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J4V5HoUn","properties":{"formattedCitation":"[41\\uc0\\u8211{}45]","plainCitation":"[41–45]","noteIndex":0},"citationItems":[{"id":207,"uris":["http://zotero.org/users/12153917/items/X6SVSRK4"],"itemData":{"id":207,"type":"article-journal","abstract":"BACKGROUND: Sequence similarity searching is a very important bioinformatics task. While Basic Local Alignment Search Tool (BLAST) outperforms exact methods through its use of heuristics, the speed of the current BLAST software is suboptimal for very long queries or database sequences. There are also some shortcomings in the user-interface of the current command-line applications.\nRESULTS: We describe features and improvements of rewritten BLAST software and introduce new command-line applications. Long query sequences are broken into chunks for processing, in some cases leading to dramatically shorter run times. For long database sequences, it is possible to retrieve only the relevant parts of the sequence, reducing CPU time and memory usage for searches of short queries against databases of contigs or chromosomes. The program can now retrieve masking information for database sequences from the BLAST databases. A new modular software library can now access subject sequence data from arbitrary data sources. We introduce several new features, including strategy files that allow a user to save and reuse their favorite set of options. The strategy files can be uploaded to and downloaded from the NCBI BLAST web site.\nCONCLUSION: The new BLAST command-line applications, compared to the current BLAST tools, demonstrate substantial speed improvements for long queries as well as chromosome length database sequences. We have also improved the user interface of the command-line applications.","container-title":"BMC bioinformatics","DOI":"10.1186/1471-2105-10-421","ISSN":"1471-2105","journalAbbreviation":"BMC Bioinformatics","language":"en","note":"PMID: 20003500\nPMCID: PMC2803857","page":"421","source":"PubMed","title":"BLAST+: architecture and applications","title-short":"BLAST+","volume":"10","author":[{"family":"Camacho","given":"Christiam"},{"family":"Coulouris","given":"George"},{"family":"Avagyan","given":"Vahram"},{"family":"Ma","given":"Ning"},{"family":"Papadopoulos","given":"Jason"},{"family":"Bealer","given":"Kevin"},{"family":"Madden","given":"Thomas L."}],"issued":{"date-parts":[["2009",12,15]]}}},{"id":219,"uris":["http://zotero.org/users/12153917/items/GJV3GSSD"],"itemData":{"id":219,"type":"article-journal","abstract":"The Swiss Institute of Bioinformatics (SIB), the European Bioinformatics Institute (EBI), and the Protein Information Resource (PIR) form the Universal Protein Resource (UniProt) consortium. Its main goal is to provide the scientific community with a central resource for protein sequences and functional information. The UniProt consortium maintains the UniProt KnowledgeBase (UniProtKB) and several supplementary databases including the UniProt Reference Clusters (UniRef) and the UniProt Archive (UniParc). (1) UniProtKB is a comprehensive protein sequence knowledgebase that consists of two sections: UniProtKB/Swiss-Prot, which contains manually annotated entries, and UniProtKB/TrEMBL, which contains computer-annotated entries. UniProtKB/Swiss-Prot entries contain information curated by biologists and provide users with cross-links to about 100 external databases and with access to additional information or tools. (2) The UniRef databases (UniRef100, UniRef90, and UniRef50) define clusters of protein sequences that share 100, 90, or 50% identity. (3) The UniParc database stores and maps all publicly available protein sequence data, including obsolete data excluded from UniProtKB. The UniProt databases can be accessed online (http://www.uniprot.org/) or downloaded in several formats (ftp://ftp.uniprot.org/pub). New releases are published every 2 weeks. The purpose of this chapter is to present a guided tour of a UniProtKB/Swiss-Prot entry, paying particular attention to the specificities of plant protein annotation. We will also present some of the tools and databases that are linked to each entry.","container-title":"Methods in Molecular Biology (Clifton, N.J.)","DOI":"10.1007/978-1-59745-535-0_4","ISSN":"1064-3745","journalAbbreviation":"Methods Mol Biol","language":"en","note":"PMID: 18287689","page":"89-112","source":"PubMed","title":"UniProtKB/Swiss-Prot","volume":"406","author":[{"family":"Boutet","given":"Emmanuel"},{"family":"Lieberherr","given":"Damien"},{"family":"Tognolli","given":"Michael"},{"family":"Schneider","given":"Michel"},{"family":"Bairoch","given":"Amos"}],"issued":{"date-parts":[["2007"]]}}},{"id":217,"uris":["http://zotero.org/users/12153917/items/DC4IMIGA"],"itemData":{"id":217,"type":"article-journal","abstract":"eggNOG is a public database of orthology relationships, gene evolutionary histories and functional annotations. Here, we present version 5.0, featuring a major update of the underlying genome sets, which have been expanded to 4445 representative bacteria and 168 archaea derived from 25 038 genomes, as well as 477 eukaryotic organisms and 2502 viral proteomes that were selected for diversity and filtered by genome quality. In total, 4.4M orthologous groups (OGs) distributed across 379 taxonomic levels were computed together with their associated sequence alignments, phylogenies, HMM models and functional descriptors. Precomputed evolutionary analysis provides fine-grained resolution of duplication/speciation events within each OG. Our benchmarks show that, despite doubling the amount of genomes, the quality of orthology assignments and functional annotations (80% coverage) has persisted without significant changes across this update. Finally, we improved eggNOG online services for fast functional annotation and orthology prediction of custom genomics or metagenomics datasets. All precomputed data are publicly available for downloading or via API queries at http://eggnog.embl.de.","container-title":"Nucleic Acids Research","DOI":"10.1093/nar/gky1085","ISSN":"1362-4962","issue":"D1","journalAbbreviation":"Nucleic Acids Res","language":"en","note":"PMID: 30418610\nPMCID: PMC6324079","page":"D309-D314","source":"PubMed","title":"eggNOG 5.0: a hierarchical, functionally and phylogenetically annotated orthology resource based on 5090 organisms and 2502 viruses","title-short":"eggNOG 5.0","volume":"47","author":[{"family":"Huerta-Cepas","given":"Jaime"},{"family":"Szklarczyk","given":"Damian"},{"family":"Heller","given":"Davide"},{"family":"Hernández-Plaza","given":"Ana"},{"family":"Forslund","given":"Sofia K."},{"family":"Cook","given":"Helen"},{"family":"Mende","given":"Daniel R."},{"family":"Letunic","given":"Ivica"},{"family":"Rattei","given":"Thomas"},{"family":"Jensen","given":"Lars J."},{"family":"Mering","given":"Christian","non-dropping-particle":"von"},{"family":"Bork","given":"Peer"}],"issued":{"date-parts":[["2019",1,8]]}}},{"id":216,"uris":["http://zotero.org/users/12153917/items/VCTVPLW5"],"itemData":{"id":216,"type":"article-journal","container-title":"Nucleic Acids Research","DOI":"10.1093/nar/28.1.27","ISSN":"13624962","issue":"1","language":"en","page":"27-30","source":"DOI.org (Crossref)","title":"KEGG: Kyoto Encyclopedia of Genes and Genomes","title-short":"KEGG","URL":"https://academic.oup.com/nar/article-lookup/doi/10.1093/nar/28.1.27","volume":"28","author":[{"family":"Kanehisa","given":"M."}],"accessed":{"date-parts":[["2024",6,23]]},"issued":{"date-parts":[["2000",1,1]]}}},{"id":215,"uris":["http://zotero.org/users/12153917/items/R6GJXARS"],"itemData":{"id":215,"type":"article-journal","abstract":"The Gene Ontology resource (GO; http://geneontology.org) provides structured, computable knowledge regarding the functions of genes and gene products. Founded in 1998, GO has become widely adopted in the life sciences, and its contents are under continual improvement, both in quantity and in quality. Here, we report the major developments of the GO resource during the past two years. Each monthly release of the GO resource is now packaged and given a unique identifier (DOI), enabling GO-based analyses on a specific release to be reproduced in the future. The molecular function ontology has been refactored to better represent the overall activities of gene products, with a focus on transcription regulator activities. Quality assurance efforts have been ramped up to address potentially out-of-date or inaccurate annotations. New evidence codes for high-throughput experiments now enable users to filter out annotations obtained from these sources. GO-CAM, a new framework for representing gene function that is more expressive than standard GO annotations, has been released, and users can now explore the growing repository of these models. We also provide the 'GO ribbon' widget for visualizing GO annotations to a gene; the widget can be easily embedded in any web page.","container-title":"Nucleic Acids Research","DOI":"10.1093/nar/gky1055","ISSN":"1362-4962","issue":"D1","journalAbbreviation":"Nucleic Acids Res","language":"en","note":"PMID: 30395331\nPMCID: PMC6323945","page":"D330-D338","source":"PubMed","title":"The Gene Ontology Resource: 20 years and still GOing strong","title-short":"The Gene Ontology Resource","volume":"47","author":[{"literal":"The Gene Ontology Consortium"}],"issued":{"date-parts":[["2019",1,8]]}}}],"schema":"https://github.com/citation-style-language/schema/raw/master/csl-citation.json"}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sz w:val="22"/>
          <w:szCs w:val="24"/>
        </w:rPr>
        <w:t>[41–45]</w:t>
      </w:r>
      <w:r>
        <w:rPr>
          <w:rFonts w:hint="default" w:ascii="Times New Roman" w:hAnsi="Times New Roman"/>
          <w:sz w:val="22"/>
          <w:szCs w:val="24"/>
        </w:rPr>
        <w:fldChar w:fldCharType="end"/>
      </w:r>
      <w:r>
        <w:rPr>
          <w:rFonts w:hint="default"/>
          <w:sz w:val="22"/>
          <w:szCs w:val="22"/>
        </w:rPr>
        <w:t xml:space="preserve">. </w:t>
      </w:r>
      <w:r>
        <w:rPr>
          <w:rFonts w:hint="default" w:ascii="Times New Roman"/>
          <w:sz w:val="22"/>
          <w:szCs w:val="22"/>
        </w:rPr>
        <w:t>O</w:t>
      </w:r>
      <w:r>
        <w:rPr>
          <w:rFonts w:hint="default"/>
          <w:sz w:val="22"/>
          <w:szCs w:val="22"/>
        </w:rPr>
        <w:t>nly the best alignment result was retained as the database alignment information for the gene</w:t>
      </w:r>
      <w:r>
        <w:rPr>
          <w:rFonts w:hint="default" w:ascii="Times New Roman"/>
          <w:sz w:val="22"/>
          <w:szCs w:val="22"/>
        </w:rPr>
        <w:t>iji</w:t>
      </w:r>
      <w:r>
        <w:rPr>
          <w:rFonts w:hint="default"/>
          <w:sz w:val="22"/>
          <w:szCs w:val="22"/>
        </w:rPr>
        <w:t>. EVenn was used to statistically analyze and visualize the annotation results</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{"citationID":"d5WRG5u4","properties":{"formattedCitation":"[46]","plainCitation":"[46]","noteIndex":0},"citationItems":[{"id":193,"uris":["http://zotero.org/users/12153917/items/HEPQE34S"],"itemData":{"id":193,"type":"article-journal","abstract":"Venn diagrams serve as invaluable tools for visualizing set relationships due to their ease of interpretation. Widely applied across diverse disciplines such as metabolomics, genomics, transcriptomics, and proteomics, their utility is undeniable. However, the operational complexity has been compounded by the absence of standardized data formats and the need to switch between various platforms for generating different Venn diagrams. To address these challenges, we introduce the EVenn platform, a versatile tool offering a unified interface for efficient data exploration and visualization of diverse Venn diagrams. EVenn (http://www.ehbio.com/test/venn) streamlines the data upload process with a standardized format, enhancing the capabilities for multimodule analysis. This comprehensive protocol outlines various applications of EVenn, featuring representative results of multiple Venn diagrams, data uploads in the centralized data center, and step-by-step case demonstrations. Through these functionalities, EVenn emerges as a valuable and user-friendly tool for the in-depth exploration of multiomics data.","container-title":"iMeta","DOI":"10.1002/imt2.184","ISSN":"2770-596X","issue":"3","journalAbbreviation":"Imeta","language":"en","note":"PMID: 38898979\nPMCID: PMC11183158","page":"e184","source":"PubMed","title":"Visualizing set relationships: EVenn's comprehensive approach to Venn diagrams","title-short":"Visualizing set relationships","volume":"3","author":[{"family":"Yang","given":"Mei"},{"family":"Chen","given":"Tong"},{"family":"Liu","given":"Yong-Xin"},{"family":"Huang","given":"Luqi"}],"issued":{"date-parts":[["2024",6]]}}}],"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eastAsia="宋体"/>
          <w:sz w:val="22"/>
          <w:szCs w:val="22"/>
          <w:lang w:eastAsia="zh-CN"/>
        </w:rPr>
        <w:t>[46]</w:t>
      </w:r>
      <w:r>
        <w:rPr>
          <w:rFonts w:hint="default" w:ascii="Times New Roman" w:hAnsi="Times New Roman" w:eastAsia="宋体"/>
          <w:sz w:val="22"/>
          <w:szCs w:val="22"/>
          <w:lang w:eastAsia="zh-CN"/>
        </w:rPr>
        <w:fldChar w:fldCharType="end"/>
      </w:r>
      <w:r>
        <w:rPr>
          <w:rFonts w:hint="default"/>
          <w:sz w:val="22"/>
          <w:szCs w:val="22"/>
        </w:rPr>
        <w:t>.</w:t>
      </w:r>
      <w:r>
        <w:rPr>
          <w:rFonts w:hint="default" w:ascii="Times New Roman"/>
          <w:sz w:val="22"/>
          <w:szCs w:val="22"/>
        </w:rPr>
        <w:t xml:space="preserve"> </w:t>
      </w:r>
      <w:r>
        <w:rPr>
          <w:rFonts w:hint="default"/>
          <w:sz w:val="22"/>
          <w:szCs w:val="22"/>
        </w:rPr>
        <w:t>The hidden Markov models related to GH1 and GH3 families provided by Pfam were used to perform HMMER alignment with the sequenced fungal genomes to obtain sequences highly related to GH1 and GH3 families</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{"citationID":"7Wq7xoNg","properties":{"formattedCitation":"[47, 48]","plainCitation":"[47, 48]","noteIndex":0},"citationItems":[{"id":222,"uris":["http://zotero.org/users/12153917/items/J7JA5P2G"],"itemData":{"id":222,"type":"article-journal","abstract":"The HMMER webserver [http://www.ebi.ac.uk/Tools/hmmer] is a free-to-use service which provides fast searches against widely used sequence databases and profile hidden Markov model (HMM) libraries using the HMMER software suite (http://hmmer.org). The results of a sequence search may be summarized in a number of ways, allowing users to view and filter the significant hits by domain architecture or taxonomy. For large scale usage, we provide an application programmatic interface (API) which has been expanded in scope, such that all result presentations are available via both HTML and API. Furthermore, we have refactored our JavaScript visualization library to provide standalone components for different result representations. These consume the aforementioned API and can be integrated into third-party websites. The range of databases that can be searched against has been expanded, adding four sequence datasets (12 in total) and one profile HMM library (6 in total). To help users explore the biological context of their results, and to discover new data resources, search results are now supplemented with cross references to other EMBL-EBI databases.","container-title":"Nucleic Acids Research","DOI":"10.1093/nar/gky448","ISSN":"1362-4962","issue":"W1","journalAbbreviation":"Nucleic Acids Res","language":"en","note":"PMID: 29905871\nPMCID: PMC6030962","page":"W200-W204","source":"PubMed","title":"HMMER web server: 2018 update","title-short":"HMMER web server","volume":"46","author":[{"family":"Potter","given":"Simon C."},{"family":"Luciani","given":"Aurélien"},{"family":"Eddy","given":"Sean R."},{"family":"Park","given":"Youngmi"},{"family":"Lopez","given":"Rodrigo"},{"family":"Finn","given":"Robert D."}],"issued":{"date-parts":[["2018",7,2]]}}},{"id":220,"uris":["http://zotero.org/users/12153917/items/S9NYP6MA"],"itemData":{"id":220,"type":"article-journal","abstract":"The Pfam database is a widely used resource for classifying protein sequences into families and domains. Since Pfam was last described in this journal, over 350 new families have been added in Pfam 33.1 and numerous improvements have been made to existing entries. To facilitate research on COVID-19, we have revised the Pfam entries that cover the SARS-CoV-2 proteome, and built new entries for regions that were not covered by Pfam. We have reintroduced Pfam-B which provides an automatically generated supplement to Pfam and contains 136 730 novel clusters of sequences that are not yet matched by a Pfam family. The new Pfam-B is based on a clustering by the MMseqs2 software. We have compared all of the regions in the RepeatsDB to those in Pfam and have started to use the results to build and refine Pfam repeat families. Pfam is freely available for browsing and download at http://pfam.xfam.org/.","container-title":"Nucleic Acids Research","DOI":"10.1093/nar/gkaa913","ISSN":"1362-4962","issue":"D1","journalAbbreviation":"Nucleic Acids Res","language":"en","note":"PMID: 33125078\nPMCID: PMC7779014","page":"D412-D419","source":"PubMed","title":"Pfam: The protein families database in 2021","title-short":"Pfam","volume":"49","author":[{"family":"Mistry","given":"Jaina"},{"family":"Chuguransky","given":"Sara"},{"family":"Williams","given":"Lowri"},{"family":"Qureshi","given":"Matloob"},{"family":"Salazar","given":"Gustavo A."},{"family":"Sonnhammer","given":"Erik L. L."},{"family":"Tosatto","given":"Silvio C. E."},{"family":"Paladin","given":"Lisanna"},{"family":"Raj","given":"Shriya"},{"family":"Richardson","given":"Lorna J."},{"family":"Finn","given":"Robert D."},{"family":"Bateman","given":"Alex"}],"issued":{"date-parts":[["2021",1,8]]}}}],"schema":"https://github.com/citation-style-language/schema/raw/master/csl-citation.json"}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eastAsia="宋体"/>
          <w:sz w:val="22"/>
          <w:szCs w:val="22"/>
          <w:lang w:eastAsia="zh-CN"/>
        </w:rPr>
        <w:t>[47, 48]</w:t>
      </w:r>
      <w:r>
        <w:rPr>
          <w:rFonts w:hint="default" w:ascii="Times New Roman" w:hAnsi="Times New Roman" w:eastAsia="宋体"/>
          <w:sz w:val="22"/>
          <w:szCs w:val="22"/>
          <w:lang w:eastAsia="zh-CN"/>
        </w:rPr>
        <w:fldChar w:fldCharType="end"/>
      </w:r>
      <w:r>
        <w:rPr>
          <w:rFonts w:hint="default"/>
          <w:sz w:val="22"/>
          <w:szCs w:val="22"/>
        </w:rPr>
        <w:t>. FastTree 2.1.11 was used to construct a phylogenetic tree of these sequences and the GH1 and GH3 gene family sequences reported in the literature</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{"citationID":"BvLUMlMe","properties":{"formattedCitation":"[49]","plainCitation":"[49]","noteIndex":0},"citationItems":[{"id":224,"uris":["http://zotero.org/users/12153917/items/YQPZBULQ"],"itemData":{"id":224,"type":"article-journal","container-title":"PLoS ONE","DOI":"10.1371/journal.pone.0009490","ISSN":"1932-6203","issue":"3","journalAbbreviation":"PLoS ONE","language":"en","page":"e9490","source":"DOI.org (Crossref)","title":"FastTree 2 – Approximately Maximum-Likelihood Trees for Large Alignments","URL":"https://dx.plos.org/10.1371/journal.pone.0009490","volume":"5","author":[{"family":"Price","given":"Morgan N."},{"family":"Dehal","given":"Paramvir S."},{"family":"Arkin","given":"Adam P."}],"editor":[{"family":"Poon","given":"Art F. Y."}],"accessed":{"date-parts":[["2024",6,23]]},"issued":{"date-parts":[["2010",3,10]]}}}],"schema":"https://github.com/citation-style-language/schema/raw/master/csl-citation.json"}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eastAsia="宋体"/>
          <w:sz w:val="22"/>
          <w:szCs w:val="22"/>
          <w:lang w:eastAsia="zh-CN"/>
        </w:rPr>
        <w:t>[49]</w:t>
      </w:r>
      <w:r>
        <w:rPr>
          <w:rFonts w:hint="default" w:ascii="Times New Roman" w:hAnsi="Times New Roman" w:eastAsia="宋体"/>
          <w:sz w:val="22"/>
          <w:szCs w:val="22"/>
          <w:lang w:eastAsia="zh-CN"/>
        </w:rPr>
        <w:fldChar w:fldCharType="end"/>
      </w:r>
      <w:r>
        <w:rPr>
          <w:rFonts w:hint="default"/>
          <w:sz w:val="22"/>
          <w:szCs w:val="22"/>
        </w:rPr>
        <w:t>. Motif prediction was conducted using MEME Suite 5.5.5</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{"citationID":"duL1xMSv","properties":{"formattedCitation":"[50]","plainCitation":"[50]","noteIndex":0},"citationItems":[{"id":225,"uris":["http://zotero.org/users/12153917/items/LW6M39J6"],"itemData":{"id":225,"type":"article-journal","abstract":"The MEME Suite is a powerful, integrated set of web-based tools for studying sequence motifs in proteins, DNA and RNA. Such motifs encode many biological functions, and their detection and characterization is important in the study of molecular interactions in the cell, including the regulation of gene expression. Since the previous description of the MEME Suite in the 2009 Nucleic Acids Research Web Server Issue, we have added six new tools. Here we describe the capabilities of all the tools within the suite, give advice on their best use and provide several case studies to illustrate how to combine the results of various MEME Suite tools for successful motif-based analyses. The MEME Suite is freely available for academic use at http://meme-suite.org, and source code is also available for download and local installation.","container-title":"Nucleic Acids Research","DOI":"10.1093/nar/gkv416","ISSN":"1362-4962","issue":"W1","journalAbbreviation":"Nucleic Acids Res","language":"en","note":"PMID: 25953851\nPMCID: PMC4489269","page":"W39-49","source":"PubMed","title":"The MEME Suite","volume":"43","author":[{"family":"Bailey","given":"Timothy L."},{"family":"Johnson","given":"James"},{"family":"Grant","given":"Charles E."},{"family":"Noble","given":"William S."}],"issued":{"date-parts":[["2015",7,1]]}}}],"schema":"https://github.com/citation-style-language/schema/raw/master/csl-citation.json"}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eastAsia="宋体"/>
          <w:sz w:val="22"/>
          <w:szCs w:val="22"/>
          <w:lang w:eastAsia="zh-CN"/>
        </w:rPr>
        <w:t>[50]</w:t>
      </w:r>
      <w:r>
        <w:rPr>
          <w:rFonts w:hint="default" w:ascii="Times New Roman" w:hAnsi="Times New Roman" w:eastAsia="宋体"/>
          <w:sz w:val="22"/>
          <w:szCs w:val="22"/>
          <w:lang w:eastAsia="zh-CN"/>
        </w:rPr>
        <w:fldChar w:fldCharType="end"/>
      </w:r>
      <w:r>
        <w:rPr>
          <w:rFonts w:hint="default"/>
          <w:sz w:val="22"/>
          <w:szCs w:val="22"/>
        </w:rPr>
        <w:t>, and visualization was performed using tvBOT</w:t>
      </w:r>
      <w:r>
        <w:rPr>
          <w:rFonts w:hint="default" w:ascii="Times New Roman"/>
          <w:sz w:val="22"/>
          <w:szCs w:val="22"/>
          <w:lang w:eastAsia="zh-CN"/>
        </w:rPr>
        <w:fldChar w:fldCharType="begin"/>
      </w:r>
      <w:r>
        <w:rPr>
          <w:rFonts w:hint="default" w:ascii="Times New Roman"/>
          <w:sz w:val="22"/>
          <w:szCs w:val="22"/>
          <w:lang w:eastAsia="zh-CN"/>
        </w:rPr>
        <w:instrText xml:space="preserve"> ADDIN ZOTERO_ITEM CSL_CITATION {"citationID":"nZMGPZRu","properties":{"formattedCitation":"[51]","plainCitation":"[51]","noteIndex":0},"citationItems":[{"id":242,"uris":["http://zotero.org/users/12153917/items/IV83HKS8"],"itemData":{"id":242,"type":"article-journal","abstract":"Abstract\n            tvBOT is a user-friendly and efficient web application for visualizing, modifying, and annotating phylogenetic trees. It is highly efficient in data preparation without requiring redundant style and syntax data. Tree annotations are powered by a data-driven engine that only requires practical data organized in uniform formats and saved as one table file. A layer manager is developed to manage annotation dataset layers, allowing the addition of a specific layer by selecting the columns of a corresponding annotation data file. Furthermore, tvBOT renders style adjustments in real-time and diversified ways. All style adjustments can be made on a highly interactive user interface and are available for mobile devices. The display engine allows the changes to be updated and rendered in real-time. In addition, tvBOT supports the combination display of 26 annotation dataset types to achieve multiple formats for tree annotations with reusable phylogenetic data. Besides several publication-ready graphics formats, JSON format can be exported to save the final drawing state and all related data, which can be shared with other users, uploaded to restore the final drawing state for re-editing or used as a style template for quickly retouching a new tree file. tvBOT is freely available at: https://www.chiplot.online/tvbot.html.","container-title":"Nucleic Acids Research","DOI":"10.1093/nar/gkad359","ISSN":"0305-1048, 1362-4962","issue":"W1","language":"en","license":"https://creativecommons.org/licenses/by-nc/4.0/","page":"W587-W592","source":"DOI.org (Crossref)","title":"Tree Visualization By One Table (tvBOT): a web application for visualizing, modifying and annotating phylogenetic trees","title-short":"Tree Visualization By One Table (tvBOT)","URL":"https://academic.oup.com/nar/article/51/W1/W587/7152874","volume":"51","author":[{"family":"Xie","given":"Jianmin"},{"family":"Chen","given":"Yuerong"},{"family":"Cai","given":"Guanjing"},{"family":"Cai","given":"Runlin"},{"family":"Hu","given":"Zhong"},{"family":"Wang","given":"Hui"}],"accessed":{"date-parts":[["2024",6,23]]},"issued":{"date-parts":[["2023",7,5]]}}}],"schema":"https://github.com/citation-style-language/schema/raw/master/csl-citation.json"} </w:instrText>
      </w:r>
      <w:r>
        <w:rPr>
          <w:rFonts w:hint="default" w:ascii="Times New Roman"/>
          <w:sz w:val="22"/>
          <w:szCs w:val="22"/>
          <w:lang w:eastAsia="zh-CN"/>
        </w:rPr>
        <w:fldChar w:fldCharType="separate"/>
      </w:r>
      <w:r>
        <w:rPr>
          <w:rFonts w:hint="default" w:ascii="Times New Roman" w:hAnsi="Times New Roman" w:eastAsia="宋体"/>
          <w:sz w:val="22"/>
          <w:szCs w:val="22"/>
          <w:lang w:eastAsia="zh-CN"/>
        </w:rPr>
        <w:t>[51]</w:t>
      </w:r>
      <w:r>
        <w:rPr>
          <w:rFonts w:hint="default" w:ascii="Times New Roman" w:hAnsi="Times New Roman" w:eastAsia="宋体"/>
          <w:sz w:val="22"/>
          <w:szCs w:val="22"/>
          <w:lang w:eastAsia="zh-CN"/>
        </w:rPr>
        <w:fldChar w:fldCharType="end"/>
      </w:r>
      <w:r>
        <w:rPr>
          <w:rFonts w:hint="default"/>
          <w:sz w:val="22"/>
          <w:szCs w:val="22"/>
        </w:rPr>
        <w:t>.</w:t>
      </w:r>
      <w:r>
        <w:rPr>
          <w:rFonts w:hint="default" w:ascii="Times New Roman"/>
          <w:sz w:val="22"/>
          <w:szCs w:val="22"/>
        </w:rPr>
        <w:t xml:space="preserve"> The sequences with signal peptides in the genome were identified using SignalP 6.0, and then these sequences were analyzed by DeepTMHMM to obtain the secreted protein sequences with signal peptides</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{"citationID":"xhzYzH8Y","properties":{"formattedCitation":"[52, 53]","plainCitation":"[52, 53]","noteIndex":0},"citationItems":[{"id":213,"uris":["http://zotero.org/users/12153917/items/LMQ8U9XX"],"itemData":{"id":213,"type":"article","abstract":"Abstract\n          \n            Transmembrane proteins span the lipid bilayer and are divided into two major structural classes, namely alpha helical and beta barrels. We introduce DeepTMHMM, a deep learning protein language model-based algorithm that can detect and predict the topology of both alpha helical and beta barrels proteins with unprecedented accuracy. DeepTMHMM (\n            https://dtu.biolib.com/DeepTMHMM\n            ) scales to proteomes and covers all domains of life, which makes it ideal for metagenomics analyses.","DOI":"10.1101/2022.04.08.487609","language":"en","source":"Bioinformatics","title":"DeepTMHMM predicts alpha and beta transmembrane proteins using deep neural networks","URL":"http://biorxiv.org/lookup/doi/10.1101/2022.04.08.487609","author":[{"family":"Hallgren","given":"Jeppe"},{"family":"Tsirigos","given":"Konstantinos D."},{"family":"Pedersen","given":"Mads Damgaard"},{"family":"Almagro Armenteros","given":"José Juan"},{"family":"Marcatili","given":"Paolo"},{"family":"Nielsen","given":"Henrik"},{"family":"Krogh","given":"Anders"},{"family":"Winther","given":"Ole"}],"accessed":{"date-parts":[["2024",6,23]]},"issued":{"date-parts":[["2022",4,10]]}}},{"id":214,"uris":["http://zotero.org/users/12153917/items/G34YFXBL"],"itemData":{"id":214,"type":"article","abstract":"Abstract\n          \n            Signal peptides (SPs) are short amino acid sequences that control protein secretion and translocation in all living organisms. As experimental characterization of SPs is costly, prediction algorithms are applied to predict them from sequence data. However, existing methods are unable to detect all known types of SPs. We introduce SignalP 6.0, the first model capable of detecting all five SP types. Additionally, the model accurately identifies the positions of regions within SPs, revealing the defining biochemical properties that underlie the function of SPs\n            in vivo\n            . Results show that SignalP 6.0 has improved prediction performance, and is the first model to be applicable to metagenomic data.\n          \n          \n            SignalP 6.0 is available at\n            https://services.healthtech.dtu.dk/service.php?SignalP-6.0","DOI":"10.1101/2021.06.09.447770","language":"en","source":"Bioinformatics","title":"SignalP 6.0 achieves signal peptide prediction across all types using protein language models","URL":"http://biorxiv.org/lookup/doi/10.1101/2021.06.09.447770","author":[{"family":"Teufel","given":"Felix"},{"family":"Armenteros","given":"José Juan Almagro"},{"family":"Johansen","given":"Alexander Rosenberg"},{"family":"Gíslason","given":"Magnús Halldór"},{"family":"Pihl","given":"Silas Irby"},{"family":"Tsirigos","given":"Konstantinos D."},{"family":"Winther","given":"Ole"},{"family":"Brunak","given":"Søren"},{"family":"Von Heijne","given":"Gunnar"},{"family":"Nielsen","given":"Henrik"}],"accessed":{"date-parts":[["2024",6,23]]},"issued":{"date-parts":[["2021",6,10]]}}}],"schema":"https://github.com/citation-style-language/schema/raw/master/csl-citation.json"}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2"/>
          <w:szCs w:val="22"/>
          <w:lang w:eastAsia="zh-CN"/>
        </w:rPr>
        <w:t>[52, 53]</w:t>
      </w:r>
      <w:r>
        <w:rPr>
          <w:rFonts w:hint="default" w:ascii="Times New Roman" w:hAnsi="Times New Roman" w:eastAsia="宋体"/>
          <w:sz w:val="22"/>
          <w:szCs w:val="22"/>
          <w:lang w:eastAsia="zh-CN"/>
        </w:rPr>
        <w:fldChar w:fldCharType="end"/>
      </w:r>
      <w:r>
        <w:rPr>
          <w:rFonts w:hint="default" w:ascii="Times New Roman"/>
          <w:sz w:val="22"/>
          <w:szCs w:val="22"/>
        </w:rPr>
        <w:t>. TBtools-II was used for GO functional enrichment analysis, and ChiPlot (https://www.chiplot.online/) was used for visualization. The secondary metabolite gene clusters in the genomes of Cladosporium and Plectosphaerella genera were predicted using antiSMASH 7.1</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{"citationID":"MuhCeyQ3","properties":{"formattedCitation":"[54]","plainCitation":"[54]","noteIndex":0},"citationItems":[{"id":389,"uris":["http://zotero.org/users/12153917/items/UEAQGTR9"],"itemData":{"id":389,"type":"article-journal","abstract":"Microorganisms produce small bioactive compounds as part of their secondary or specialised metabolism. Often, such metabolites have antimicrobial, anticancer, antifungal, antiviral or other bio-activities and thus play an important role for applications in medicine and agriculture. In the past decade, genome mining has become a widely-used method to explore, access, and analyse the available biodiversity of these compounds. Since 2011, the 'antibiotics and secondary metabolite analysis shell-antiSMASH' (https://antismash.secondarymetabolites.org/) has supported researchers in their microbial genome mining tasks, both as a free to use web server and as a standalone tool under an OSI-approved open source licence. It is currently the most widely used tool for detecting and characterising biosynthetic gene clusters (BGCs) in archaea, bacteria, and fungi. Here, we present the updated version 7 of antiSMASH. antiSMASH 7 increases the number of supported cluster types from 71 to 81, as well as containing improvements in the areas of chemical structure prediction, enzymatic assembly-line visualisation and gene cluster regulation.","container-title":"Nucleic Acids Research","DOI":"10.1093/nar/gkad344","ISSN":"1362-4962","issue":"W1","journalAbbreviation":"Nucleic Acids Res","language":"en","note":"PMID: 37140036\nPMCID: PMC10320115","page":"W46-W50","source":"PubMed","title":"antiSMASH 7.0: new and improved predictions for detection, regulation, chemical structures and visualisation","title-short":"antiSMASH 7.0","volume":"51","author":[{"family":"Blin","given":"Kai"},{"family":"Shaw","given":"Simon"},{"family":"Augustijn","given":"Hannah E."},{"family":"Reitz","given":"Zachary L."},{"family":"Biermann","given":"Friederike"},{"family":"Alanjary","given":"Mohammad"},{"family":"Fetter","given":"Artem"},{"family":"Terlouw","given":"Barbara R."},{"family":"Metcalf","given":"William W."},{"family":"Helfrich","given":"Eric J. N."},{"family":"Wezel","given":"Gilles P.","non-dropping-particle":"van"},{"family":"Medema","given":"Marnix H."},{"family":"Weber","given":"Tilmann"}],"issued":{"date-parts":[["2023",7,5]]}}}],"schema":"https://github.com/citation-style-language/schema/raw/master/csl-citation.json"}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2"/>
          <w:szCs w:val="22"/>
          <w:lang w:eastAsia="zh-CN"/>
        </w:rPr>
        <w:t>[54]</w:t>
      </w:r>
      <w:r>
        <w:rPr>
          <w:rFonts w:hint="default" w:ascii="Times New Roman" w:hAnsi="Times New Roman" w:eastAsia="宋体"/>
          <w:sz w:val="22"/>
          <w:szCs w:val="22"/>
          <w:lang w:eastAsia="zh-CN"/>
        </w:rPr>
        <w:fldChar w:fldCharType="end"/>
      </w:r>
      <w:r>
        <w:rPr>
          <w:rFonts w:hint="default" w:ascii="Times New Roman"/>
          <w:sz w:val="22"/>
          <w:szCs w:val="22"/>
        </w:rPr>
        <w:t>, and data comparison and visualization of the number of predicted secondary metabolite gene clusters were performed using ChiPlot (https://www.chiplot.online/).</w:t>
      </w:r>
    </w:p>
    <w:p w14:paraId="174B34AC">
      <w:pPr>
        <w:pStyle w:val="33"/>
        <w:spacing w:beforeLines="0" w:afterLines="0"/>
        <w:rPr>
          <w:rFonts w:hint="default" w:ascii="Times New Roman"/>
          <w:sz w:val="22"/>
          <w:szCs w:val="22"/>
        </w:rPr>
      </w:pPr>
      <w:r>
        <w:rPr>
          <w:rFonts w:hint="default" w:ascii="Times New Roman"/>
          <w:sz w:val="22"/>
          <w:szCs w:val="22"/>
        </w:rPr>
        <w:t xml:space="preserve">Since there are few species of </w:t>
      </w:r>
      <w:r>
        <w:rPr>
          <w:rFonts w:hint="default" w:ascii="Times New Roman"/>
          <w:i/>
          <w:sz w:val="22"/>
          <w:szCs w:val="22"/>
        </w:rPr>
        <w:t>Plectosphaerella</w:t>
      </w:r>
      <w:r>
        <w:rPr>
          <w:rFonts w:hint="default" w:ascii="Times New Roman"/>
          <w:sz w:val="22"/>
          <w:szCs w:val="22"/>
        </w:rPr>
        <w:t xml:space="preserve"> and </w:t>
      </w:r>
      <w:r>
        <w:rPr>
          <w:rFonts w:hint="default" w:ascii="Times New Roman"/>
          <w:i/>
          <w:sz w:val="22"/>
          <w:szCs w:val="22"/>
        </w:rPr>
        <w:t>Cladosporium</w:t>
      </w:r>
      <w:r>
        <w:rPr>
          <w:rFonts w:hint="default" w:ascii="Times New Roman"/>
          <w:sz w:val="22"/>
          <w:szCs w:val="22"/>
        </w:rPr>
        <w:t xml:space="preserve"> genera with genome annotation information uploaded on NCBI, their raw genomes were downloaded, and the Funannotate v1.8.15 pipeline was used for genome structure annotation</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{"citationID":"8PaPQjTv","properties":{"formattedCitation":"[55]","plainCitation":"[55]","noteIndex":0},"citationItems":[{"id":223,"uris":["http://zotero.org/users/12153917/items/2XJHXAYH"],"itemData":{"id":223,"type":"software","abstract":"highly recommend all users upgrade Code now python 2/3 compatible (only 9 months late....) EVM now uses &lt;code&gt;interlap&lt;/code&gt; for slicing input files, significant speed increase for larger genomes if &lt;code&gt;--organism other&lt;/code&gt; is passed, &lt;code&gt;codingquarry&lt;/code&gt; is now disabled by default -- you can turn it on by specifying a valid weight, ie &lt;code&gt;--weights codingquarry:2&lt;/code&gt; support for &lt;code&gt;signalp&lt;/code&gt; version 5 move resources to JSON download via GitHub, will allow for updating/changing resources without re-installing a new version of &lt;code&gt;funannotate&lt;/code&gt; several fixes for more robust GFF3 parsing fix for cazyme assignments where results were duplicated; also upgraded to database version 8 fix bug where PASA results not properly passed to EVM if funannotate predict was re-run many other bug fixes","license":"Open Access","note":"DOI: 10.5281/ZENODO.4054262","publisher":"Zenodo","source":"DOI.org (Datacite)","title":"Funannotate v1.8.1: Eukaryotic genome annotation","title-short":"Funannotate v1.8.1","URL":"https://zenodo.org/record/4054262","version":"v1.8.1","author":[{"family":"Palmer","given":"Jonathan M."},{"family":"Stajich","given":"Jason"}],"accessed":{"date-parts":[["2024",6,23]]},"issued":{"date-parts":[["2020",9,28]]}}}],"schema":"https://github.com/citation-style-language/schema/raw/master/csl-citation.json"}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[55]</w:t>
      </w:r>
      <w:r>
        <w:rPr>
          <w:rFonts w:hint="default" w:ascii="Times New Roman" w:hAnsi="Times New Roman" w:eastAsia="宋体"/>
          <w:sz w:val="24"/>
          <w:szCs w:val="22"/>
          <w:lang w:eastAsia="zh-CN"/>
        </w:rPr>
        <w:fldChar w:fldCharType="end"/>
      </w:r>
      <w:r>
        <w:rPr>
          <w:rFonts w:hint="default" w:ascii="Times New Roman"/>
          <w:sz w:val="22"/>
          <w:szCs w:val="22"/>
        </w:rPr>
        <w:t>. The gene families and single-copy orthologous genes were analyzed using OrthoFinder v2.5.5 software</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{"citationID":"RrOeJa9u","properties":{"formattedCitation":"[56]","plainCitation":"[56]","noteIndex":0},"citationItems":[{"id":221,"uris":["http://zotero.org/users/12153917/items/IJQW822M"],"itemData":{"id":221,"type":"article-journal","abstract":"Here, we present a major advance of the OrthoFinder method. This extends OrthoFinder's high accuracy orthogroup inference to provide phylogenetic inference of orthologs, rooted gene trees, gene duplication events, the rooted species tree, and comparative genomics statistics. Each output is benchmarked on appropriate real or simulated datasets, and where comparable methods exist, OrthoFinder is equivalent to or outperforms these methods. Furthermore, OrthoFinder is the most accurate ortholog inference method on the Quest for Orthologs benchmark test. Finally, OrthoFinder's comprehensive phylogenetic analysis is achieved with equivalent speed and scalability to the fastest, score-based heuristic methods. OrthoFinder is available at https://github.com/davidemms/OrthoFinder.","container-title":"Genome Biology","DOI":"10.1186/s13059-019-1832-y","ISSN":"1474-760X","issue":"1","journalAbbreviation":"Genome Biol","language":"en","note":"PMID: 31727128\nPMCID: PMC6857279","page":"238","source":"PubMed","title":"OrthoFinder: phylogenetic orthology inference for comparative genomics","title-short":"OrthoFinder","volume":"20","author":[{"family":"Emms","given":"David M."},{"family":"Kelly","given":"Steven"}],"issued":{"date-parts":[["2019",11,14]]}}}],"schema":"https://github.com/citation-style-language/schema/raw/master/csl-citation.json"}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[56]</w:t>
      </w:r>
      <w:r>
        <w:rPr>
          <w:rFonts w:hint="default" w:ascii="Times New Roman" w:hAnsi="Times New Roman" w:eastAsia="宋体"/>
          <w:sz w:val="24"/>
          <w:szCs w:val="22"/>
          <w:lang w:eastAsia="zh-CN"/>
        </w:rPr>
        <w:fldChar w:fldCharType="end"/>
      </w:r>
      <w:r>
        <w:rPr>
          <w:rFonts w:hint="default" w:ascii="Times New Roman"/>
          <w:sz w:val="22"/>
          <w:szCs w:val="22"/>
        </w:rPr>
        <w:t>. FastTree 2.1.11 was used to construct a phylogenetic tree of the identified tandem single-copy orthologous genes, and tvBOT was employed for visualization.</w:t>
      </w:r>
      <w:bookmarkStart w:id="0" w:name="_GoBack"/>
      <w:bookmarkEnd w:id="0"/>
      <w:r>
        <w:rPr>
          <w:rFonts w:hint="default" w:ascii="Times New Roman"/>
          <w:sz w:val="22"/>
          <w:szCs w:val="22"/>
        </w:rPr>
        <w:t xml:space="preserve"> Using r8s based on the results of OrthoFinder, TimeTree was used to determine the divergence years of reference species pairs</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{"citationID":"plN9Ak12","properties":{"formattedCitation":"[57, 58]","plainCitation":"[57, 58]","noteIndex":0},"citationItems":[{"id":210,"uris":["http://zotero.org/users/12153917/items/QJMXD5YS"],"itemData":{"id":210,"type":"article-journal","abstract":"We present the fifth edition of the TimeTree of Life resource (TToL5), a product of the timetree of life project that aims to synthesize published molecular timetrees and make evolutionary knowledge easily accessible to all. Using the TToL5 web portal, users can retrieve published studies and divergence times between species, the timeline of a species' evolution beginning with the origin of life, and the timetree for a given evolutionary group at the desired taxonomic rank. TToL5 contains divergence time information on 137,306 species, 41% more than the previous edition. The TToL5 web interface is now ADA-compliant and mobile-friendly, a result of comprehensive source code refactoring. TToL5 also offers programmatic access to species divergence times and timelines through an application programming interface, which is accessible at timetree.temple.edu/api. TToL5 is publicly available at timetree.org.","container-title":"Molecular Biology and Evolution","DOI":"10.1093/molbev/msac174","ISSN":"1537-1719","issue":"8","journalAbbreviation":"Mol Biol Evol","language":"en","note":"PMID: 35932227\nPMCID: PMC9400175","page":"msac174","source":"PubMed","title":"TimeTree 5: An Expanded Resource for Species Divergence Times","title-short":"TimeTree 5","volume":"39","author":[{"family":"Kumar","given":"Sudhir"},{"family":"Suleski","given":"Michael"},{"family":"Craig","given":"Jack M."},{"family":"Kasprowicz","given":"Adrienne E."},{"family":"Sanderford","given":"Maxwell"},{"family":"Li","given":"Michael"},{"family":"Stecher","given":"Glen"},{"family":"Hedges","given":"S. Blair"}],"issued":{"date-parts":[["2022",8,6]]}}},{"id":211,"uris":["http://zotero.org/users/12153917/items/3H9AQF9E"],"itemData":{"id":211,"type":"article-journal","abstract":"SUMMARY: Estimating divergence times and rates of substitution from sequence data is plagued by the problem of rate variation between lineages. R8s version 1.5 is a program which uses parametric, nonparametric and semiparametric methods to relax the assumption of constant rates of evolution to obtain better estimates of rates and times. Unlike most programs for rate inference or phylogenetics, r8s permits users to convert results to absolute rates and ages by constraining one or more node times to be fixed, minimum or maximum ages (using fossil or other evidence). Version 1.5 uses truncated Newton nonlinear optimization code with bound constraints, offering superior performance over previous versions.\nAVAILABILITY: The linux executable, C source code, sample data sets and user manual are available free at http://ginger.ucdavis.edu/r8s.","container-title":"Bioinformatics (Oxford, England)","DOI":"10.1093/bioinformatics/19.2.301","ISSN":"1367-4803","issue":"2","journalAbbreviation":"Bioinformatics","language":"en","note":"PMID: 12538260","page":"301-302","source":"PubMed","title":"r8s: inferring absolute rates of molecular evolution and divergence times in the absence of a molecular clock","title-short":"r8s","volume":"19","author":[{"family":"Sanderson","given":"Michael J."}],"issued":{"date-parts":[["2003",1,22]]}}}],"schema":"https://github.com/citation-style-language/schema/raw/master/csl-citation.json"}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[57, 58]</w:t>
      </w:r>
      <w:r>
        <w:rPr>
          <w:rFonts w:hint="default" w:ascii="Times New Roman" w:hAnsi="Times New Roman" w:eastAsia="宋体"/>
          <w:sz w:val="24"/>
          <w:szCs w:val="22"/>
          <w:lang w:eastAsia="zh-CN"/>
        </w:rPr>
        <w:fldChar w:fldCharType="end"/>
      </w:r>
      <w:r>
        <w:rPr>
          <w:rFonts w:hint="default" w:ascii="Times New Roman"/>
          <w:sz w:val="22"/>
          <w:szCs w:val="22"/>
        </w:rPr>
        <w:t xml:space="preserve">. Ultrametric trees were constructed for single Plec and Clad species versus outgroup species, as well as for </w:t>
      </w:r>
      <w:r>
        <w:rPr>
          <w:rFonts w:hint="default" w:ascii="Times New Roman"/>
          <w:i/>
          <w:sz w:val="22"/>
          <w:szCs w:val="22"/>
        </w:rPr>
        <w:t>Plectosphaerella</w:t>
      </w:r>
      <w:r>
        <w:rPr>
          <w:rFonts w:hint="default" w:ascii="Times New Roman"/>
          <w:sz w:val="22"/>
          <w:szCs w:val="22"/>
        </w:rPr>
        <w:t xml:space="preserve"> and </w:t>
      </w:r>
      <w:r>
        <w:rPr>
          <w:rFonts w:hint="default" w:ascii="Times New Roman"/>
          <w:i/>
          <w:sz w:val="22"/>
          <w:szCs w:val="22"/>
        </w:rPr>
        <w:t>Cladospsorium</w:t>
      </w:r>
      <w:r>
        <w:rPr>
          <w:rFonts w:hint="default" w:ascii="Times New Roman"/>
          <w:sz w:val="22"/>
          <w:szCs w:val="22"/>
        </w:rPr>
        <w:t xml:space="preserve"> genera versus outgroup species. Divergence times among various species and ancestral nodes were calculated. CAFE 5 was employed to analyze gene family expansion and contraction</w:t>
      </w:r>
      <w:r>
        <w:rPr>
          <w:rFonts w:hint="eastAsia" w:eastAsia="宋体"/>
          <w:sz w:val="22"/>
          <w:szCs w:val="22"/>
          <w:lang w:eastAsia="zh-CN"/>
        </w:rPr>
        <w:fldChar w:fldCharType="begin"/>
      </w:r>
      <w:r>
        <w:rPr>
          <w:rFonts w:hint="eastAsia" w:eastAsia="宋体"/>
          <w:sz w:val="22"/>
          <w:szCs w:val="22"/>
          <w:lang w:eastAsia="zh-CN"/>
        </w:rPr>
        <w:instrText xml:space="preserve"> ADDIN ZOTERO_ITEM CSL_CITATION {"citationID":"06BjYZMj","properties":{"formattedCitation":"[59]","plainCitation":"[59]","noteIndex":0},"citationItems":[{"id":209,"uris":["http://zotero.org/users/12153917/items/HPQBJSMW"],"itemData":{"id":209,"type":"article-journal","abstract":"MOTIVATION: Genome sequencing projects have revealed frequent gains and losses of genes between species. Previous versions of our software, Computational Analysis of gene Family Evolution (CAFE), have allowed researchers to estimate parameters of gene gain and loss across a phylogenetic tree. However, the underlying model assumed that all gene families had the same rate of evolution, despite evidence suggesting a large amount of variation in rates among families.\nRESULTS: Here, we present CAFE 5, a completely re-written software package with numerous performance and user-interface enhancements over previous versions. These include improved support for multithreading, the explicit modeling of rate variation among families using gamma-distributed rate categories, and command-line arguments that preclude the use of accessory scripts.\nAVAILABILITY AND IMPLEMENTATION: CAFE 5 source code, documentation, test data and a detailed manual with examples are freely available at https://github.com/hahnlab/CAFE5/releases.\nSUPPLEMENTARY INFORMATION: Supplementary data are available at Bioinformatics online.","container-title":"Bioinformatics (Oxford, England)","DOI":"10.1093/bioinformatics/btaa1022","ISSN":"1367-4811","issue":"22-23","journalAbbreviation":"Bioinformatics","language":"en","note":"PMID: 33325502","page":"5516-5518","source":"PubMed","title":"CAFE 5 models variation in evolutionary rates among gene families","volume":"36","author":[{"family":"Mendes","given":"Fábio K."},{"family":"Vanderpool","given":"Dan"},{"family":"Fulton","given":"Ben"},{"family":"Hahn","given":"Matthew W."}],"issued":{"date-parts":[["2021",4,1]]}}}],"schema":"https://github.com/citation-style-language/schema/raw/master/csl-citation.json"} </w:instrText>
      </w:r>
      <w:r>
        <w:rPr>
          <w:rFonts w:hint="eastAsia" w:eastAsia="宋体"/>
          <w:sz w:val="22"/>
          <w:szCs w:val="22"/>
          <w:lang w:eastAsia="zh-CN"/>
        </w:rPr>
        <w:fldChar w:fldCharType="separate"/>
      </w:r>
      <w:r>
        <w:rPr>
          <w:rFonts w:hint="default" w:ascii="Times New Roman" w:hAnsi="Times New Roman" w:eastAsia="宋体"/>
          <w:sz w:val="24"/>
          <w:szCs w:val="22"/>
          <w:lang w:eastAsia="zh-CN"/>
        </w:rPr>
        <w:t>[59]</w:t>
      </w:r>
      <w:r>
        <w:rPr>
          <w:rFonts w:hint="default" w:ascii="Times New Roman" w:hAnsi="Times New Roman" w:eastAsia="宋体"/>
          <w:sz w:val="24"/>
          <w:szCs w:val="22"/>
          <w:lang w:eastAsia="zh-CN"/>
        </w:rPr>
        <w:fldChar w:fldCharType="end"/>
      </w:r>
      <w:r>
        <w:rPr>
          <w:rFonts w:hint="default" w:ascii="Times New Roman"/>
          <w:sz w:val="22"/>
          <w:szCs w:val="22"/>
        </w:rPr>
        <w:t>. For significantly expanded gene families, TBtools-II was used for GO enrichment, and the enrichment results were visualized using tvBOT.</w:t>
      </w:r>
    </w:p>
    <w:p w14:paraId="17CC5450">
      <w:pPr>
        <w:jc w:val="center"/>
        <w:rPr>
          <w:rFonts w:hint="eastAsia"/>
          <w:b/>
          <w:bCs/>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nion Pro">
    <w:altName w:val="Times New Roman"/>
    <w:panose1 w:val="02040503050201020203"/>
    <w:charset w:val="00"/>
    <w:family w:val="roman"/>
    <w:pitch w:val="default"/>
    <w:sig w:usb0="00000000"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825006E"/>
    <w:rsid w:val="0A9642B9"/>
    <w:rsid w:val="0F530735"/>
    <w:rsid w:val="12F26322"/>
    <w:rsid w:val="15E038B4"/>
    <w:rsid w:val="1E523BA7"/>
    <w:rsid w:val="268A05C0"/>
    <w:rsid w:val="2A1E6175"/>
    <w:rsid w:val="2C171608"/>
    <w:rsid w:val="32546A4C"/>
    <w:rsid w:val="337E124A"/>
    <w:rsid w:val="4167576F"/>
    <w:rsid w:val="49F93471"/>
    <w:rsid w:val="4F2E0A82"/>
    <w:rsid w:val="60465303"/>
    <w:rsid w:val="60A3418C"/>
    <w:rsid w:val="761C1A7F"/>
    <w:rsid w:val="7A664E53"/>
    <w:rsid w:val="7ABB2C0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rFonts w:eastAsia="黑体"/>
      <w:kern w:val="44"/>
    </w:rPr>
  </w:style>
  <w:style w:type="paragraph" w:styleId="3">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Times New Roman" w:hAnsi="Times New Roman" w:eastAsia="黑体"/>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rFonts w:eastAsia="黑体"/>
    </w:rPr>
  </w:style>
  <w:style w:type="paragraph" w:styleId="5">
    <w:name w:val="heading 4"/>
    <w:basedOn w:val="1"/>
    <w:next w:val="1"/>
    <w:autoRedefine/>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spacing w:before="240" w:beforeLines="0" w:beforeAutospacing="0" w:after="64" w:afterLines="0" w:afterAutospacing="0" w:line="317" w:lineRule="auto"/>
      <w:outlineLvl w:val="6"/>
    </w:pPr>
    <w:rPr>
      <w:b/>
      <w:sz w:val="24"/>
    </w:rPr>
  </w:style>
  <w:style w:type="paragraph" w:styleId="9">
    <w:name w:val="heading 8"/>
    <w:basedOn w:val="1"/>
    <w:next w:val="1"/>
    <w:semiHidden/>
    <w:unhideWhenUsed/>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spacing w:before="240" w:beforeLines="0" w:beforeAutospacing="0" w:after="64" w:afterLines="0" w:afterAutospacing="0" w:line="317" w:lineRule="auto"/>
      <w:outlineLvl w:val="8"/>
    </w:pPr>
    <w:rPr>
      <w:rFonts w:ascii="Arial" w:hAnsi="Arial" w:eastAsia="黑体"/>
      <w:sz w:val="21"/>
    </w:rPr>
  </w:style>
  <w:style w:type="character" w:default="1" w:styleId="21">
    <w:name w:val="Default Paragraph Font"/>
    <w:autoRedefine/>
    <w:qFormat/>
    <w:uiPriority w:val="0"/>
    <w:rPr>
      <w:rFonts w:ascii="Times New Roman" w:hAnsi="Times New Roman" w:eastAsia="宋体"/>
    </w:rPr>
  </w:style>
  <w:style w:type="table" w:default="1" w:styleId="19">
    <w:name w:val="Normal Table"/>
    <w:semiHidden/>
    <w:qFormat/>
    <w:uiPriority w:val="0"/>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qFormat/>
    <w:uiPriority w:val="0"/>
    <w:pPr>
      <w:spacing w:after="120" w:afterLines="0" w:afterAutospacing="0"/>
    </w:pPr>
  </w:style>
  <w:style w:type="paragraph" w:styleId="13">
    <w:name w:val="footer"/>
    <w:basedOn w:val="1"/>
    <w:autoRedefine/>
    <w:qFormat/>
    <w:uiPriority w:val="0"/>
    <w:pPr>
      <w:tabs>
        <w:tab w:val="center" w:pos="4153"/>
        <w:tab w:val="right" w:pos="8306"/>
      </w:tabs>
      <w:snapToGrid w:val="0"/>
      <w:jc w:val="left"/>
    </w:pPr>
    <w:rPr>
      <w:sz w:val="18"/>
    </w:rPr>
  </w:style>
  <w:style w:type="paragraph" w:styleId="1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autoRedefine/>
    <w:qFormat/>
    <w:uiPriority w:val="0"/>
  </w:style>
  <w:style w:type="paragraph" w:styleId="16">
    <w:name w:val="Subtitle"/>
    <w:basedOn w:val="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17">
    <w:name w:val="toc 2"/>
    <w:basedOn w:val="1"/>
    <w:next w:val="1"/>
    <w:autoRedefine/>
    <w:qFormat/>
    <w:uiPriority w:val="0"/>
    <w:pPr>
      <w:ind w:left="420" w:leftChars="200"/>
    </w:pPr>
  </w:style>
  <w:style w:type="paragraph" w:styleId="18">
    <w:name w:val="Title"/>
    <w:basedOn w:val="1"/>
    <w:qFormat/>
    <w:uiPriority w:val="0"/>
    <w:pPr>
      <w:spacing w:before="240" w:beforeLines="0" w:beforeAutospacing="0" w:after="60" w:afterLines="0" w:afterAutospacing="0"/>
      <w:jc w:val="center"/>
      <w:outlineLvl w:val="0"/>
    </w:pPr>
    <w:rPr>
      <w:rFonts w:ascii="Arial" w:hAnsi="Arial"/>
      <w:b/>
      <w:sz w:val="32"/>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Emphasis"/>
    <w:basedOn w:val="21"/>
    <w:autoRedefine/>
    <w:qFormat/>
    <w:uiPriority w:val="0"/>
    <w:rPr>
      <w:i/>
    </w:rPr>
  </w:style>
  <w:style w:type="character" w:styleId="24">
    <w:name w:val="Hyperlink"/>
    <w:basedOn w:val="21"/>
    <w:qFormat/>
    <w:uiPriority w:val="0"/>
    <w:rPr>
      <w:color w:val="0000FF"/>
      <w:u w:val="single"/>
    </w:rPr>
  </w:style>
  <w:style w:type="paragraph" w:customStyle="1" w:styleId="25">
    <w:name w:val="书目1"/>
    <w:basedOn w:val="1"/>
    <w:qFormat/>
    <w:uiPriority w:val="0"/>
    <w:pPr>
      <w:tabs>
        <w:tab w:val="left" w:pos="384"/>
      </w:tabs>
      <w:spacing w:line="360" w:lineRule="auto"/>
      <w:ind w:left="386" w:hanging="386"/>
    </w:pPr>
    <w:rPr>
      <w:rFonts w:ascii="Times New Roman" w:hAnsi="Times New Roman" w:cs="Times New Roman"/>
      <w:kern w:val="2"/>
      <w:szCs w:val="24"/>
      <w:lang w:eastAsia="zh-CN"/>
    </w:rPr>
  </w:style>
  <w:style w:type="paragraph" w:customStyle="1" w:styleId="26">
    <w:name w:val="Bibliography"/>
    <w:basedOn w:val="1"/>
    <w:autoRedefine/>
    <w:qFormat/>
    <w:uiPriority w:val="0"/>
    <w:pPr>
      <w:tabs>
        <w:tab w:val="left" w:pos="384"/>
      </w:tabs>
      <w:spacing w:line="480" w:lineRule="auto"/>
      <w:ind w:left="384" w:hanging="384"/>
    </w:pPr>
  </w:style>
  <w:style w:type="paragraph" w:customStyle="1" w:styleId="27">
    <w:name w:val="天津中医药大学论文样式"/>
    <w:basedOn w:val="1"/>
    <w:autoRedefine/>
    <w:qFormat/>
    <w:uiPriority w:val="0"/>
    <w:rPr>
      <w:rFonts w:hint="eastAsia"/>
      <w:sz w:val="24"/>
    </w:rPr>
  </w:style>
  <w:style w:type="paragraph" w:customStyle="1" w:styleId="28">
    <w:name w:val="WPSOffice手动目录 1"/>
    <w:qFormat/>
    <w:uiPriority w:val="0"/>
    <w:pPr>
      <w:ind w:leftChars="0"/>
    </w:pPr>
    <w:rPr>
      <w:rFonts w:ascii="Times New Roman" w:hAnsi="Times New Roman" w:eastAsia="宋体" w:cs="Times New Roman"/>
      <w:sz w:val="20"/>
      <w:szCs w:val="20"/>
    </w:r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 w:type="paragraph" w:customStyle="1" w:styleId="30">
    <w:name w:val="天中医目录"/>
    <w:basedOn w:val="1"/>
    <w:qFormat/>
    <w:uiPriority w:val="0"/>
    <w:pPr>
      <w:tabs>
        <w:tab w:val="right" w:leader="dot" w:pos="9072"/>
      </w:tabs>
      <w:spacing w:line="360" w:lineRule="auto"/>
    </w:pPr>
    <w:rPr>
      <w:rFonts w:cs="Times New Roman"/>
    </w:rPr>
  </w:style>
  <w:style w:type="paragraph" w:customStyle="1" w:styleId="31">
    <w:name w:val="样式1"/>
    <w:basedOn w:val="1"/>
    <w:next w:val="1"/>
    <w:qFormat/>
    <w:uiPriority w:val="0"/>
    <w:pPr>
      <w:keepNext/>
      <w:keepLines/>
      <w:spacing w:before="260" w:beforeLines="0" w:after="260" w:afterLines="0" w:line="413" w:lineRule="auto"/>
      <w:outlineLvl w:val="2"/>
    </w:pPr>
    <w:rPr>
      <w:rFonts w:hint="eastAsia" w:eastAsia="黑体"/>
      <w:b/>
      <w:sz w:val="24"/>
    </w:rPr>
  </w:style>
  <w:style w:type="paragraph" w:customStyle="1" w:styleId="32">
    <w:name w:val="TSP_2.2_heading2"/>
    <w:unhideWhenUsed/>
    <w:qFormat/>
    <w:uiPriority w:val="0"/>
    <w:pPr>
      <w:adjustRightInd w:val="0"/>
      <w:snapToGrid w:val="0"/>
      <w:spacing w:before="60" w:beforeLines="0" w:after="60" w:afterLines="0" w:line="240" w:lineRule="atLeast"/>
      <w:outlineLvl w:val="1"/>
    </w:pPr>
    <w:rPr>
      <w:rFonts w:hint="default" w:ascii="Minion Pro" w:hAnsi="Minion Pro" w:eastAsia="Times New Roman" w:cs="Times New Roman"/>
      <w:b/>
      <w:i/>
      <w:snapToGrid w:val="0"/>
      <w:color w:val="000000"/>
      <w:sz w:val="22"/>
      <w:szCs w:val="22"/>
      <w:lang w:val="en-US" w:eastAsia="de-DE" w:bidi="en-US"/>
    </w:rPr>
  </w:style>
  <w:style w:type="paragraph" w:customStyle="1" w:styleId="33">
    <w:name w:val="TSP_3.1_text"/>
    <w:unhideWhenUsed/>
    <w:qFormat/>
    <w:uiPriority w:val="0"/>
    <w:pPr>
      <w:adjustRightInd w:val="0"/>
      <w:snapToGrid w:val="0"/>
      <w:spacing w:beforeLines="0" w:after="60" w:afterLines="0" w:line="240" w:lineRule="atLeast"/>
      <w:ind w:firstLine="425"/>
      <w:jc w:val="both"/>
    </w:pPr>
    <w:rPr>
      <w:rFonts w:hint="default" w:ascii="Minion Pro" w:hAnsi="Minion Pro" w:eastAsia="Times New Roman" w:cs="Times New Roman"/>
      <w:snapToGrid w:val="0"/>
      <w:color w:val="000000"/>
      <w:sz w:val="22"/>
      <w:szCs w:val="22"/>
      <w:lang w:val="en-US" w:eastAsia="de-DE" w:bidi="en-US"/>
    </w:rPr>
  </w:style>
  <w:style w:type="paragraph" w:customStyle="1" w:styleId="34">
    <w:name w:val="TSP_header"/>
    <w:unhideWhenUsed/>
    <w:qFormat/>
    <w:uiPriority w:val="0"/>
    <w:pPr>
      <w:adjustRightInd w:val="0"/>
      <w:snapToGrid w:val="0"/>
      <w:spacing w:beforeLines="0" w:afterLines="0" w:line="228" w:lineRule="auto"/>
      <w:jc w:val="both"/>
    </w:pPr>
    <w:rPr>
      <w:rFonts w:hint="default" w:ascii="Minion Pro" w:hAnsi="Minion Pro" w:eastAsia="Times New Roman" w:cs="Times New Roman"/>
      <w:color w:val="000000"/>
      <w:sz w:val="16"/>
      <w:szCs w:val="24"/>
      <w:lang w:val="en-US" w:eastAsia="de-DE" w:bidi="ar-SA"/>
    </w:rPr>
  </w:style>
  <w:style w:type="paragraph" w:customStyle="1" w:styleId="35">
    <w:name w:val="TSP_7.2_Copyright"/>
    <w:unhideWhenUsed/>
    <w:qFormat/>
    <w:uiPriority w:val="0"/>
    <w:pPr>
      <w:adjustRightInd w:val="0"/>
      <w:snapToGrid w:val="0"/>
      <w:spacing w:beforeLines="0" w:afterLines="0" w:line="192" w:lineRule="auto"/>
      <w:jc w:val="both"/>
    </w:pPr>
    <w:rPr>
      <w:rFonts w:hint="default" w:ascii="Minion Pro" w:hAnsi="Minion Pro" w:eastAsia="Times New Roman" w:cs="Times New Roman"/>
      <w:snapToGrid w:val="0"/>
      <w:color w:val="000000"/>
      <w:sz w:val="18"/>
      <w:szCs w:val="24"/>
      <w:lang w:val="en-GB" w:eastAsia="en-GB" w:bidi="ar-SA"/>
    </w:rPr>
  </w:style>
  <w:style w:type="paragraph" w:customStyle="1" w:styleId="36">
    <w:name w:val="TSP_header_journal_logo"/>
    <w:unhideWhenUsed/>
    <w:qFormat/>
    <w:uiPriority w:val="0"/>
    <w:pPr>
      <w:adjustRightInd w:val="0"/>
      <w:snapToGrid w:val="0"/>
      <w:spacing w:beforeLines="0" w:afterLines="0" w:line="240" w:lineRule="atLeast"/>
    </w:pPr>
    <w:rPr>
      <w:rFonts w:hint="default" w:ascii="Minion Pro" w:hAnsi="Minion Pro" w:eastAsia="Times New Roman" w:cs="Times New Roman"/>
      <w:color w:val="000000"/>
      <w:sz w:val="22"/>
      <w:szCs w:val="22"/>
      <w:lang w:val="en-US" w:eastAsia="de-CH" w:bidi="ar-SA"/>
    </w:rPr>
  </w:style>
  <w:style w:type="paragraph" w:customStyle="1" w:styleId="37">
    <w:name w:val="TSP_header_tsp_logo"/>
    <w:unhideWhenUsed/>
    <w:qFormat/>
    <w:uiPriority w:val="0"/>
    <w:pPr>
      <w:adjustRightInd w:val="0"/>
      <w:snapToGrid w:val="0"/>
      <w:spacing w:beforeLines="0" w:afterLines="0" w:line="240" w:lineRule="atLeast"/>
      <w:jc w:val="right"/>
    </w:pPr>
    <w:rPr>
      <w:rFonts w:hint="default" w:ascii="Minion Pro" w:hAnsi="Minion Pro" w:eastAsia="Times New Roman" w:cs="Times New Roman"/>
      <w:color w:val="000000"/>
      <w:sz w:val="22"/>
      <w:szCs w:val="22"/>
      <w:lang w:val="en-US" w:eastAsia="de-CH" w:bidi="ar-SA"/>
    </w:rPr>
  </w:style>
  <w:style w:type="paragraph" w:customStyle="1" w:styleId="38">
    <w:name w:val="TSP_7.3_CopyrightImage"/>
    <w:unhideWhenUsed/>
    <w:qFormat/>
    <w:uiPriority w:val="0"/>
    <w:pPr>
      <w:adjustRightInd w:val="0"/>
      <w:snapToGrid w:val="0"/>
      <w:spacing w:before="20" w:beforeLines="0" w:afterLines="0" w:line="228" w:lineRule="auto"/>
    </w:pPr>
    <w:rPr>
      <w:rFonts w:hint="default" w:ascii="Minion Pro" w:hAnsi="Minion Pro" w:eastAsia="Times New Roman" w:cs="Times New Roman"/>
      <w:color w:val="000000"/>
      <w:sz w:val="18"/>
      <w:szCs w:val="24"/>
      <w:lang w:val="en-US" w:eastAsia="de-CH"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2024-10-31T10:33:00Z</dcterms:created>
  <dc:creator>m</dc:creator>
  <cp:lastModifiedBy>友人mrk</cp:lastModifiedBy>
  <dcterms:modified xsi:type="dcterms:W3CDTF">2026-01-05T10:03:13Z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0B5F599A48D449D88DDCEFBC0653A5A3_12</vt:lpwstr>
  </property>
  <property fmtid="{D5CDD505-2E9C-101B-9397-08002B2CF9AE}" pid="4" name="KSOTemplateDocerSaveRecord">
    <vt:lpwstr>eyJoZGlkIjoiYTJhYjc2YTgwMjlmNDU3NWI2N2ExZTQzN2FkMWFiMjYiLCJ1c2VySWQiOiIzODYxOTg3OTkifQ==</vt:lpwstr>
  </property>
</Properties>
</file>